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5F571" w14:textId="77777777" w:rsidR="00D749F9" w:rsidRPr="00987C54" w:rsidRDefault="00D749F9" w:rsidP="00D749F9">
      <w:pPr>
        <w:pStyle w:val="Default"/>
        <w:jc w:val="center"/>
        <w:rPr>
          <w:b/>
          <w:lang w:val="en-GB"/>
        </w:rPr>
      </w:pPr>
      <w:bookmarkStart w:id="0" w:name="_GoBack"/>
      <w:bookmarkEnd w:id="0"/>
      <w:r w:rsidRPr="00987C54">
        <w:rPr>
          <w:b/>
          <w:lang w:val="en-GB"/>
        </w:rPr>
        <w:t>ILO Governing Body</w:t>
      </w:r>
    </w:p>
    <w:p w14:paraId="15A59E36" w14:textId="77777777" w:rsidR="00D749F9" w:rsidRPr="00987C54" w:rsidRDefault="00D749F9" w:rsidP="00D749F9">
      <w:pPr>
        <w:pStyle w:val="Default"/>
        <w:jc w:val="center"/>
        <w:rPr>
          <w:b/>
          <w:lang w:val="en-GB"/>
        </w:rPr>
      </w:pPr>
      <w:r w:rsidRPr="00987C54">
        <w:rPr>
          <w:b/>
          <w:lang w:val="en-GB"/>
        </w:rPr>
        <w:t>3</w:t>
      </w:r>
      <w:r w:rsidR="00D352A6">
        <w:rPr>
          <w:b/>
          <w:lang w:val="en-GB"/>
        </w:rPr>
        <w:t>31st</w:t>
      </w:r>
      <w:r w:rsidRPr="00987C54">
        <w:rPr>
          <w:b/>
          <w:lang w:val="en-GB"/>
        </w:rPr>
        <w:t xml:space="preserve"> Session </w:t>
      </w:r>
    </w:p>
    <w:p w14:paraId="0DB32CE6" w14:textId="77777777" w:rsidR="00D749F9" w:rsidRPr="00987C54" w:rsidRDefault="00D749F9" w:rsidP="00D749F9">
      <w:pPr>
        <w:pStyle w:val="Default"/>
        <w:jc w:val="center"/>
        <w:rPr>
          <w:b/>
          <w:lang w:val="en-GB"/>
        </w:rPr>
      </w:pPr>
      <w:r w:rsidRPr="00987C54">
        <w:rPr>
          <w:b/>
          <w:lang w:val="en-GB"/>
        </w:rPr>
        <w:t xml:space="preserve">(Geneva, </w:t>
      </w:r>
      <w:r w:rsidR="00787411">
        <w:rPr>
          <w:b/>
          <w:lang w:val="en-GB"/>
        </w:rPr>
        <w:t>October-November</w:t>
      </w:r>
      <w:r w:rsidRPr="00987C54">
        <w:rPr>
          <w:b/>
          <w:lang w:val="en-GB"/>
        </w:rPr>
        <w:t xml:space="preserve"> 201</w:t>
      </w:r>
      <w:r w:rsidR="00D352A6">
        <w:rPr>
          <w:b/>
          <w:lang w:val="en-GB"/>
        </w:rPr>
        <w:t>7</w:t>
      </w:r>
      <w:r w:rsidRPr="00987C54">
        <w:rPr>
          <w:b/>
          <w:lang w:val="en-GB"/>
        </w:rPr>
        <w:t>)</w:t>
      </w:r>
    </w:p>
    <w:p w14:paraId="2DCE3EA2" w14:textId="77777777" w:rsidR="00D749F9" w:rsidRPr="00987C54" w:rsidRDefault="00D749F9" w:rsidP="00D749F9">
      <w:pPr>
        <w:pStyle w:val="Default"/>
        <w:jc w:val="center"/>
        <w:rPr>
          <w:b/>
          <w:lang w:val="en-GB"/>
        </w:rPr>
      </w:pPr>
      <w:r w:rsidRPr="00987C54">
        <w:rPr>
          <w:b/>
          <w:lang w:val="en-GB"/>
        </w:rPr>
        <w:t>"</w:t>
      </w:r>
      <w:r w:rsidR="00D352A6">
        <w:rPr>
          <w:b/>
          <w:lang w:val="en-GB"/>
        </w:rPr>
        <w:t>Outcome 7</w:t>
      </w:r>
      <w:r w:rsidRPr="00987C54">
        <w:rPr>
          <w:b/>
          <w:lang w:val="en-GB"/>
        </w:rPr>
        <w:t xml:space="preserve">: </w:t>
      </w:r>
      <w:r w:rsidR="00CA20D9">
        <w:rPr>
          <w:b/>
          <w:lang w:val="en-GB"/>
        </w:rPr>
        <w:t>Promoting</w:t>
      </w:r>
      <w:r w:rsidR="00787411">
        <w:rPr>
          <w:b/>
          <w:lang w:val="en-GB"/>
        </w:rPr>
        <w:t xml:space="preserve"> workplace compliance through labour inspection</w:t>
      </w:r>
      <w:r w:rsidRPr="00987C54">
        <w:rPr>
          <w:b/>
          <w:lang w:val="en-GB"/>
        </w:rPr>
        <w:t>"</w:t>
      </w:r>
      <w:r w:rsidRPr="00987C54">
        <w:rPr>
          <w:b/>
          <w:lang w:val="en-GB"/>
        </w:rPr>
        <w:br/>
        <w:t>(GB.3</w:t>
      </w:r>
      <w:r w:rsidR="00D352A6">
        <w:rPr>
          <w:b/>
          <w:lang w:val="en-GB"/>
        </w:rPr>
        <w:t>31</w:t>
      </w:r>
      <w:r w:rsidRPr="00987C54">
        <w:rPr>
          <w:b/>
          <w:lang w:val="en-GB"/>
        </w:rPr>
        <w:t>/POL/</w:t>
      </w:r>
      <w:r w:rsidR="00787411">
        <w:rPr>
          <w:b/>
          <w:lang w:val="en-GB"/>
        </w:rPr>
        <w:t>4</w:t>
      </w:r>
      <w:r w:rsidRPr="00987C54">
        <w:rPr>
          <w:b/>
          <w:lang w:val="en-GB"/>
        </w:rPr>
        <w:t>)</w:t>
      </w:r>
    </w:p>
    <w:p w14:paraId="5C45A6D7" w14:textId="77777777" w:rsidR="00987C54" w:rsidRPr="00987C54" w:rsidRDefault="00987C54" w:rsidP="00D749F9">
      <w:pPr>
        <w:pStyle w:val="Corps"/>
        <w:jc w:val="center"/>
        <w:outlineLvl w:val="0"/>
        <w:rPr>
          <w:b/>
          <w:lang w:val="en-GB"/>
        </w:rPr>
      </w:pPr>
    </w:p>
    <w:p w14:paraId="771E65B6" w14:textId="77777777" w:rsidR="00D749F9" w:rsidRPr="00987C54" w:rsidRDefault="00987C54" w:rsidP="00F735D2">
      <w:pPr>
        <w:pStyle w:val="Default"/>
        <w:jc w:val="center"/>
        <w:rPr>
          <w:b/>
          <w:lang w:val="en-GB"/>
        </w:rPr>
      </w:pPr>
      <w:r w:rsidRPr="00987C54">
        <w:rPr>
          <w:b/>
          <w:lang w:val="en-GB"/>
        </w:rPr>
        <w:t>EU Statement</w:t>
      </w:r>
    </w:p>
    <w:p w14:paraId="6430EEA0" w14:textId="77777777" w:rsidR="00D749F9" w:rsidRPr="00987C54" w:rsidRDefault="00D749F9" w:rsidP="00D749F9">
      <w:pPr>
        <w:pStyle w:val="Default"/>
        <w:rPr>
          <w:b/>
          <w:lang w:val="en-GB"/>
        </w:rPr>
      </w:pPr>
    </w:p>
    <w:p w14:paraId="443F658A" w14:textId="77777777" w:rsidR="00D749F9" w:rsidRPr="00987C54" w:rsidRDefault="00D749F9" w:rsidP="00D749F9">
      <w:r w:rsidRPr="00987C54">
        <w:t>Thank you, Chairperson.</w:t>
      </w:r>
    </w:p>
    <w:p w14:paraId="4F272ACF" w14:textId="77777777" w:rsidR="00D749F9" w:rsidRPr="00987C54" w:rsidRDefault="00D749F9" w:rsidP="00D749F9"/>
    <w:p w14:paraId="2CA23293" w14:textId="77777777" w:rsidR="00D749F9" w:rsidRPr="00987C54" w:rsidRDefault="00D749F9" w:rsidP="00D749F9">
      <w:r w:rsidRPr="00987C54">
        <w:t>I am speaking on behalf of the European Union and its Member States.</w:t>
      </w:r>
    </w:p>
    <w:p w14:paraId="657AF00A" w14:textId="77777777" w:rsidR="00D749F9" w:rsidRPr="00987C54" w:rsidRDefault="00D749F9" w:rsidP="00D749F9">
      <w:pPr>
        <w:pStyle w:val="Default"/>
        <w:rPr>
          <w:b/>
          <w:lang w:val="en-GB"/>
        </w:rPr>
      </w:pPr>
    </w:p>
    <w:p w14:paraId="3857AA24" w14:textId="77777777" w:rsidR="00D749F9" w:rsidRPr="00EC4A15" w:rsidRDefault="00D749F9" w:rsidP="00D749F9">
      <w:pPr>
        <w:pStyle w:val="Default"/>
        <w:rPr>
          <w:i/>
          <w:lang w:val="en-GB"/>
        </w:rPr>
      </w:pPr>
      <w:r w:rsidRPr="00EC4A15">
        <w:rPr>
          <w:i/>
          <w:lang w:val="en-GB"/>
        </w:rPr>
        <w:t>(</w:t>
      </w:r>
      <w:proofErr w:type="gramStart"/>
      <w:r w:rsidRPr="00EC4A15">
        <w:rPr>
          <w:i/>
          <w:lang w:val="en-GB"/>
        </w:rPr>
        <w:t>alignment</w:t>
      </w:r>
      <w:proofErr w:type="gramEnd"/>
      <w:r w:rsidRPr="00EC4A15">
        <w:rPr>
          <w:i/>
          <w:lang w:val="en-GB"/>
        </w:rPr>
        <w:t xml:space="preserve"> clause)</w:t>
      </w:r>
      <w:r w:rsidR="00CF700F" w:rsidRPr="00EC4A15">
        <w:rPr>
          <w:i/>
          <w:color w:val="FF0000"/>
          <w:lang w:val="en-GB"/>
        </w:rPr>
        <w:t xml:space="preserve"> </w:t>
      </w:r>
    </w:p>
    <w:p w14:paraId="1627003F" w14:textId="77777777" w:rsidR="00D749F9" w:rsidRPr="00987C54" w:rsidRDefault="00D749F9" w:rsidP="00D749F9">
      <w:pPr>
        <w:autoSpaceDE w:val="0"/>
        <w:autoSpaceDN w:val="0"/>
        <w:adjustRightInd w:val="0"/>
        <w:jc w:val="both"/>
      </w:pPr>
    </w:p>
    <w:p w14:paraId="71412A34" w14:textId="45B280A4" w:rsidR="00234111" w:rsidRDefault="00234111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We welcome the opportunity to formulate our guidance on “</w:t>
      </w:r>
      <w:r w:rsidR="00CA20D9">
        <w:rPr>
          <w:lang w:eastAsia="en-US"/>
        </w:rPr>
        <w:t>Promoting</w:t>
      </w:r>
      <w:r>
        <w:rPr>
          <w:lang w:eastAsia="en-US"/>
        </w:rPr>
        <w:t xml:space="preserve"> workplace compliance through labour inspection” </w:t>
      </w:r>
      <w:r w:rsidRPr="00987C54">
        <w:t xml:space="preserve">as one of the </w:t>
      </w:r>
      <w:r>
        <w:t>ten policy outcomes of the current biennium</w:t>
      </w:r>
      <w:r>
        <w:rPr>
          <w:lang w:eastAsia="en-US"/>
        </w:rPr>
        <w:t>.</w:t>
      </w:r>
    </w:p>
    <w:p w14:paraId="6BFD0B5E" w14:textId="77777777" w:rsidR="00234111" w:rsidRDefault="00833E52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On the basis of the experience gained through the Area of Critical Importance 7 in the previous biennium, w</w:t>
      </w:r>
      <w:r w:rsidR="00234111">
        <w:rPr>
          <w:lang w:eastAsia="en-US"/>
        </w:rPr>
        <w:t xml:space="preserve">e welcome </w:t>
      </w:r>
      <w:r w:rsidR="00BB4007">
        <w:rPr>
          <w:lang w:eastAsia="en-US"/>
        </w:rPr>
        <w:t>the strategy</w:t>
      </w:r>
      <w:r w:rsidR="0049225F">
        <w:rPr>
          <w:lang w:eastAsia="en-US"/>
        </w:rPr>
        <w:t xml:space="preserve"> </w:t>
      </w:r>
      <w:r w:rsidR="00234111">
        <w:rPr>
          <w:lang w:eastAsia="en-US"/>
        </w:rPr>
        <w:t xml:space="preserve">to mobilize the ILO, individual countries and social partners </w:t>
      </w:r>
      <w:r>
        <w:rPr>
          <w:lang w:eastAsia="en-US"/>
        </w:rPr>
        <w:t>in</w:t>
      </w:r>
      <w:r w:rsidR="00234111">
        <w:rPr>
          <w:lang w:eastAsia="en-US"/>
        </w:rPr>
        <w:t xml:space="preserve"> </w:t>
      </w:r>
      <w:r>
        <w:rPr>
          <w:lang w:eastAsia="en-US"/>
        </w:rPr>
        <w:t>promoting compliance of all workplaces with laws, regulations and collective agreements</w:t>
      </w:r>
      <w:r w:rsidR="00BB4007">
        <w:rPr>
          <w:lang w:eastAsia="en-US"/>
        </w:rPr>
        <w:t>. We concur with the three key changes on which this strategy focuses: strengthened capacity, improved framework with a focus on high risk sectors and effective collaboration and partnerships</w:t>
      </w:r>
      <w:r w:rsidR="00BB4007">
        <w:rPr>
          <w:rStyle w:val="FootnoteReference"/>
          <w:lang w:eastAsia="en-US"/>
        </w:rPr>
        <w:footnoteReference w:id="1"/>
      </w:r>
      <w:r w:rsidR="00BB4007">
        <w:rPr>
          <w:lang w:eastAsia="en-US"/>
        </w:rPr>
        <w:t>.</w:t>
      </w:r>
    </w:p>
    <w:p w14:paraId="65AA065D" w14:textId="459DF4B8" w:rsidR="00234111" w:rsidRPr="005F56BA" w:rsidRDefault="00234111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We agree that labour inspection plays an essential role in occupational safety and health, contributing to the protection of rights at work, preventing abuses and promoting economic and social development</w:t>
      </w:r>
      <w:r w:rsidR="005317A9" w:rsidRPr="00EC4A15">
        <w:rPr>
          <w:rStyle w:val="FootnoteReference"/>
          <w:color w:val="000000" w:themeColor="text1"/>
        </w:rPr>
        <w:footnoteReference w:id="2"/>
      </w:r>
      <w:r>
        <w:rPr>
          <w:lang w:eastAsia="en-US"/>
        </w:rPr>
        <w:t>, in both developed and developing economies</w:t>
      </w:r>
      <w:r w:rsidR="00BD4892">
        <w:rPr>
          <w:rStyle w:val="FootnoteReference"/>
          <w:lang w:eastAsia="en-US"/>
        </w:rPr>
        <w:footnoteReference w:id="3"/>
      </w:r>
      <w:r w:rsidR="00FA1B12">
        <w:rPr>
          <w:lang w:eastAsia="en-US"/>
        </w:rPr>
        <w:t>.</w:t>
      </w:r>
      <w:r w:rsidR="00853E34">
        <w:rPr>
          <w:iCs/>
          <w:lang w:eastAsia="en-US"/>
        </w:rPr>
        <w:t xml:space="preserve"> Strong and effective labour inspection and other enforcement institutions </w:t>
      </w:r>
      <w:r w:rsidR="005F00FE">
        <w:rPr>
          <w:lang w:eastAsia="en-US"/>
        </w:rPr>
        <w:t>represent the foundation for the respect of core labour</w:t>
      </w:r>
      <w:r w:rsidR="00404257">
        <w:rPr>
          <w:lang w:eastAsia="en-US"/>
        </w:rPr>
        <w:t xml:space="preserve"> standards</w:t>
      </w:r>
      <w:r w:rsidR="005F00FE">
        <w:rPr>
          <w:lang w:eastAsia="en-US"/>
        </w:rPr>
        <w:t xml:space="preserve">. </w:t>
      </w:r>
      <w:r>
        <w:rPr>
          <w:lang w:eastAsia="en-US"/>
        </w:rPr>
        <w:t>As the report states, labour law enforcement is exclusively a public function and cannot be delegated</w:t>
      </w:r>
      <w:r w:rsidR="00833E52">
        <w:rPr>
          <w:rStyle w:val="FootnoteReference"/>
          <w:lang w:eastAsia="en-US"/>
        </w:rPr>
        <w:footnoteReference w:id="4"/>
      </w:r>
      <w:r w:rsidR="00C47D9B">
        <w:rPr>
          <w:i/>
          <w:iCs/>
          <w:lang w:eastAsia="en-US"/>
        </w:rPr>
        <w:t xml:space="preserve"> </w:t>
      </w:r>
      <w:r w:rsidR="00C47D9B" w:rsidRPr="00C47D9B">
        <w:rPr>
          <w:iCs/>
          <w:lang w:eastAsia="en-US"/>
        </w:rPr>
        <w:t>and we</w:t>
      </w:r>
      <w:r w:rsidR="00C47D9B">
        <w:rPr>
          <w:i/>
          <w:iCs/>
          <w:lang w:eastAsia="en-US"/>
        </w:rPr>
        <w:t xml:space="preserve"> </w:t>
      </w:r>
      <w:r w:rsidR="000402ED" w:rsidRPr="000402ED">
        <w:rPr>
          <w:iCs/>
          <w:lang w:eastAsia="en-US"/>
        </w:rPr>
        <w:t>con</w:t>
      </w:r>
      <w:r w:rsidR="000402ED">
        <w:rPr>
          <w:iCs/>
          <w:lang w:eastAsia="en-US"/>
        </w:rPr>
        <w:t>cur with the need for cooperation within the broader system of labour administration</w:t>
      </w:r>
      <w:r w:rsidR="000402ED">
        <w:rPr>
          <w:rStyle w:val="FootnoteReference"/>
          <w:iCs/>
          <w:lang w:eastAsia="en-US"/>
        </w:rPr>
        <w:footnoteReference w:id="5"/>
      </w:r>
      <w:r w:rsidR="000402ED">
        <w:rPr>
          <w:iCs/>
          <w:lang w:eastAsia="en-US"/>
        </w:rPr>
        <w:t>.</w:t>
      </w:r>
    </w:p>
    <w:p w14:paraId="46C3094F" w14:textId="41E775CB" w:rsidR="005F56BA" w:rsidRDefault="00276ADE" w:rsidP="005148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contextualSpacing w:val="0"/>
        <w:jc w:val="both"/>
        <w:rPr>
          <w:lang w:eastAsia="en-US"/>
        </w:rPr>
      </w:pPr>
      <w:r>
        <w:rPr>
          <w:lang w:eastAsia="en-US"/>
        </w:rPr>
        <w:t xml:space="preserve">The </w:t>
      </w:r>
      <w:r w:rsidR="005F56BA">
        <w:rPr>
          <w:lang w:eastAsia="en-US"/>
        </w:rPr>
        <w:t>ILO’s focus on compliance echoes EU policies such as the EU Strategic Framework on OSH for the period 2014-2020, which includes as one of its strategic objectives the improvement of national enforcement capacity, the European Platform tackling undeclared work</w:t>
      </w:r>
      <w:r w:rsidR="005F56BA">
        <w:rPr>
          <w:rStyle w:val="FootnoteReference"/>
          <w:lang w:eastAsia="en-US"/>
        </w:rPr>
        <w:footnoteReference w:id="6"/>
      </w:r>
      <w:r w:rsidR="005F56BA">
        <w:rPr>
          <w:lang w:eastAsia="en-US"/>
        </w:rPr>
        <w:t xml:space="preserve"> and </w:t>
      </w:r>
      <w:r w:rsidR="00BA071C">
        <w:rPr>
          <w:lang w:eastAsia="en-US"/>
        </w:rPr>
        <w:t>the envisaged</w:t>
      </w:r>
      <w:r w:rsidR="005F56BA">
        <w:rPr>
          <w:lang w:eastAsia="en-US"/>
        </w:rPr>
        <w:t xml:space="preserve"> initiative</w:t>
      </w:r>
      <w:r w:rsidR="005148B7">
        <w:rPr>
          <w:lang w:eastAsia="en-US"/>
        </w:rPr>
        <w:t xml:space="preserve"> </w:t>
      </w:r>
      <w:r w:rsidR="005148B7" w:rsidRPr="005148B7">
        <w:rPr>
          <w:lang w:eastAsia="en-US"/>
        </w:rPr>
        <w:t>of the European</w:t>
      </w:r>
      <w:r w:rsidR="005148B7">
        <w:rPr>
          <w:lang w:eastAsia="en-US"/>
        </w:rPr>
        <w:t xml:space="preserve"> Commission </w:t>
      </w:r>
      <w:r w:rsidR="005148B7" w:rsidRPr="005148B7">
        <w:rPr>
          <w:lang w:eastAsia="en-US"/>
        </w:rPr>
        <w:t xml:space="preserve"> </w:t>
      </w:r>
      <w:r w:rsidR="005F56BA">
        <w:rPr>
          <w:lang w:eastAsia="en-US"/>
        </w:rPr>
        <w:t>to set up a European Labour Authority</w:t>
      </w:r>
      <w:r w:rsidR="005F56BA">
        <w:rPr>
          <w:rStyle w:val="FootnoteReference"/>
          <w:lang w:eastAsia="en-US"/>
        </w:rPr>
        <w:footnoteReference w:id="7"/>
      </w:r>
      <w:r w:rsidR="005F56BA">
        <w:rPr>
          <w:lang w:eastAsia="en-US"/>
        </w:rPr>
        <w:t>.</w:t>
      </w:r>
    </w:p>
    <w:p w14:paraId="4348E847" w14:textId="1778E416" w:rsidR="000402ED" w:rsidRDefault="005F56BA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 xml:space="preserve">The report lists a large number of </w:t>
      </w:r>
      <w:r w:rsidR="00AC3C9D">
        <w:rPr>
          <w:lang w:eastAsia="en-US"/>
        </w:rPr>
        <w:t>interventions undertaken under O</w:t>
      </w:r>
      <w:r>
        <w:rPr>
          <w:lang w:eastAsia="en-US"/>
        </w:rPr>
        <w:t>utcome 7</w:t>
      </w:r>
      <w:r w:rsidR="00E1113D">
        <w:rPr>
          <w:lang w:eastAsia="en-US"/>
        </w:rPr>
        <w:t>,</w:t>
      </w:r>
      <w:r w:rsidR="008C6A95">
        <w:rPr>
          <w:lang w:eastAsia="en-US"/>
        </w:rPr>
        <w:t xml:space="preserve"> many of them with the support of the European Union and its Member states</w:t>
      </w:r>
      <w:r>
        <w:rPr>
          <w:lang w:eastAsia="en-US"/>
        </w:rPr>
        <w:t xml:space="preserve">. </w:t>
      </w:r>
    </w:p>
    <w:p w14:paraId="5F03B7B2" w14:textId="394499F7" w:rsidR="006A3B04" w:rsidRDefault="003871CD" w:rsidP="005148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contextualSpacing w:val="0"/>
        <w:jc w:val="both"/>
        <w:rPr>
          <w:lang w:eastAsia="en-US"/>
        </w:rPr>
      </w:pPr>
      <w:r>
        <w:rPr>
          <w:lang w:eastAsia="en-US"/>
        </w:rPr>
        <w:t xml:space="preserve">We welcome the development of the ILO OSH GAP and Better Work flagship programmes, in particular the establishment of the Vision Zero Fund for sectors </w:t>
      </w:r>
      <w:r>
        <w:rPr>
          <w:lang w:eastAsia="en-US"/>
        </w:rPr>
        <w:lastRenderedPageBreak/>
        <w:t>linked to global supply chains</w:t>
      </w:r>
      <w:r>
        <w:rPr>
          <w:rStyle w:val="FootnoteReference"/>
          <w:lang w:eastAsia="en-US"/>
        </w:rPr>
        <w:footnoteReference w:id="8"/>
      </w:r>
      <w:r>
        <w:rPr>
          <w:lang w:eastAsia="en-US"/>
        </w:rPr>
        <w:t>, with contributions of the European Union</w:t>
      </w:r>
      <w:r w:rsidR="005148B7" w:rsidRPr="005148B7">
        <w:rPr>
          <w:lang w:eastAsia="en-US"/>
        </w:rPr>
        <w:t>,</w:t>
      </w:r>
      <w:r w:rsidR="00FA1B12">
        <w:rPr>
          <w:lang w:eastAsia="en-US"/>
        </w:rPr>
        <w:t xml:space="preserve"> </w:t>
      </w:r>
      <w:r w:rsidR="005148B7" w:rsidRPr="005148B7">
        <w:rPr>
          <w:lang w:eastAsia="en-US"/>
        </w:rPr>
        <w:t>France</w:t>
      </w:r>
      <w:r w:rsidR="00FA1B12">
        <w:rPr>
          <w:lang w:eastAsia="en-US"/>
        </w:rPr>
        <w:t xml:space="preserve">, Germany, </w:t>
      </w:r>
      <w:r w:rsidR="00505D4D">
        <w:rPr>
          <w:lang w:eastAsia="en-US"/>
        </w:rPr>
        <w:t>Norway</w:t>
      </w:r>
      <w:r w:rsidR="00FA1B12">
        <w:rPr>
          <w:lang w:eastAsia="en-US"/>
        </w:rPr>
        <w:t xml:space="preserve"> and the United States</w:t>
      </w:r>
      <w:r w:rsidR="00EB328D">
        <w:rPr>
          <w:lang w:eastAsia="en-US"/>
        </w:rPr>
        <w:t>.</w:t>
      </w:r>
      <w:r w:rsidR="0059254F">
        <w:rPr>
          <w:lang w:eastAsia="en-US"/>
        </w:rPr>
        <w:t xml:space="preserve"> We also welcome contributions made by the private sector and we encourage other stakeholders to join such an initiative in the future.</w:t>
      </w:r>
    </w:p>
    <w:p w14:paraId="2CAB0194" w14:textId="135EBA08" w:rsidR="006A3B04" w:rsidRPr="006A3B04" w:rsidRDefault="007E6AD4" w:rsidP="004968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contextualSpacing w:val="0"/>
        <w:jc w:val="both"/>
        <w:rPr>
          <w:lang w:eastAsia="en-US"/>
        </w:rPr>
      </w:pPr>
      <w:r>
        <w:rPr>
          <w:lang w:eastAsia="en-US"/>
        </w:rPr>
        <w:t xml:space="preserve">We particularly appreciate that the ILO OSH GAP programme addresses the situation of </w:t>
      </w:r>
      <w:r w:rsidR="00E1113D">
        <w:rPr>
          <w:lang w:eastAsia="en-US"/>
        </w:rPr>
        <w:t>vulnerable workers,</w:t>
      </w:r>
      <w:r w:rsidR="0049685C" w:rsidRPr="0049685C">
        <w:t xml:space="preserve"> </w:t>
      </w:r>
      <w:r w:rsidR="0049685C" w:rsidRPr="0049685C">
        <w:rPr>
          <w:lang w:eastAsia="en-US"/>
        </w:rPr>
        <w:t xml:space="preserve">especially those of young workers through the involvement of young people in the </w:t>
      </w:r>
      <w:proofErr w:type="spellStart"/>
      <w:r w:rsidR="0049685C" w:rsidRPr="0049685C">
        <w:rPr>
          <w:lang w:eastAsia="en-US"/>
        </w:rPr>
        <w:t>SafeYouth@Work</w:t>
      </w:r>
      <w:proofErr w:type="spellEnd"/>
      <w:r w:rsidR="0049685C" w:rsidRPr="0049685C">
        <w:rPr>
          <w:lang w:eastAsia="en-US"/>
        </w:rPr>
        <w:t xml:space="preserve"> Project and Action Plan, as well as</w:t>
      </w:r>
      <w:r w:rsidR="00E1113D">
        <w:rPr>
          <w:lang w:eastAsia="en-US"/>
        </w:rPr>
        <w:t xml:space="preserve"> </w:t>
      </w:r>
      <w:r>
        <w:rPr>
          <w:lang w:eastAsia="en-US"/>
        </w:rPr>
        <w:t>high risk sectors</w:t>
      </w:r>
      <w:r w:rsidRPr="00F44F76">
        <w:rPr>
          <w:lang w:eastAsia="en-US"/>
        </w:rPr>
        <w:t xml:space="preserve">, such as </w:t>
      </w:r>
      <w:r>
        <w:rPr>
          <w:lang w:eastAsia="en-US"/>
        </w:rPr>
        <w:t xml:space="preserve">agriculture and construction, SMEs, </w:t>
      </w:r>
      <w:r w:rsidR="00E1113D">
        <w:rPr>
          <w:lang w:eastAsia="en-US"/>
        </w:rPr>
        <w:t xml:space="preserve">and </w:t>
      </w:r>
      <w:r>
        <w:rPr>
          <w:lang w:eastAsia="en-US"/>
        </w:rPr>
        <w:t>global supply chains</w:t>
      </w:r>
      <w:r w:rsidRPr="00F44F76">
        <w:rPr>
          <w:lang w:eastAsia="en-US"/>
        </w:rPr>
        <w:t>.</w:t>
      </w:r>
      <w:r w:rsidR="006A3B04">
        <w:rPr>
          <w:lang w:eastAsia="en-US"/>
        </w:rPr>
        <w:t xml:space="preserve"> </w:t>
      </w:r>
      <w:r w:rsidR="00E1113D">
        <w:rPr>
          <w:lang w:eastAsia="en-US"/>
        </w:rPr>
        <w:t>In this regard, w</w:t>
      </w:r>
      <w:r w:rsidR="006A3B04">
        <w:rPr>
          <w:lang w:eastAsia="en-US"/>
        </w:rPr>
        <w:t xml:space="preserve">e </w:t>
      </w:r>
      <w:r w:rsidR="00E1113D">
        <w:rPr>
          <w:lang w:eastAsia="en-US"/>
        </w:rPr>
        <w:t>would like to inform</w:t>
      </w:r>
      <w:r w:rsidR="006A3B04">
        <w:rPr>
          <w:lang w:eastAsia="en-US"/>
        </w:rPr>
        <w:t xml:space="preserve"> that </w:t>
      </w:r>
      <w:r w:rsidR="006A3B04" w:rsidRPr="006A3B04">
        <w:rPr>
          <w:lang w:eastAsia="en-US"/>
        </w:rPr>
        <w:t xml:space="preserve">the </w:t>
      </w:r>
      <w:r w:rsidR="006A3B04">
        <w:rPr>
          <w:lang w:eastAsia="en-US"/>
        </w:rPr>
        <w:t>outcome</w:t>
      </w:r>
      <w:r w:rsidR="006A3B04" w:rsidRPr="006A3B04">
        <w:rPr>
          <w:lang w:eastAsia="en-US"/>
        </w:rPr>
        <w:t xml:space="preserve"> of the ILO/EU joint project on OSH in food and agriculture supply chains </w:t>
      </w:r>
      <w:r w:rsidR="006A3B04">
        <w:rPr>
          <w:lang w:eastAsia="en-US"/>
        </w:rPr>
        <w:t>will be shared in the coming days</w:t>
      </w:r>
      <w:r w:rsidR="006A3B04">
        <w:rPr>
          <w:rStyle w:val="FootnoteReference"/>
          <w:lang w:eastAsia="en-US"/>
        </w:rPr>
        <w:footnoteReference w:id="9"/>
      </w:r>
      <w:r w:rsidR="006A3B04">
        <w:rPr>
          <w:lang w:eastAsia="en-US"/>
        </w:rPr>
        <w:t>.</w:t>
      </w:r>
    </w:p>
    <w:p w14:paraId="37686368" w14:textId="77777777" w:rsidR="003871CD" w:rsidRDefault="00A316C4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 xml:space="preserve">As </w:t>
      </w:r>
      <w:r w:rsidR="00E1113D">
        <w:rPr>
          <w:lang w:eastAsia="en-US"/>
        </w:rPr>
        <w:t>to</w:t>
      </w:r>
      <w:r>
        <w:rPr>
          <w:lang w:eastAsia="en-US"/>
        </w:rPr>
        <w:t xml:space="preserve"> labour law reform, policy development</w:t>
      </w:r>
      <w:r w:rsidR="00486D64">
        <w:rPr>
          <w:lang w:eastAsia="en-US"/>
        </w:rPr>
        <w:t xml:space="preserve"> and</w:t>
      </w:r>
      <w:r>
        <w:rPr>
          <w:lang w:eastAsia="en-US"/>
        </w:rPr>
        <w:t xml:space="preserve"> the specific challe</w:t>
      </w:r>
      <w:r w:rsidR="00486D64">
        <w:rPr>
          <w:lang w:eastAsia="en-US"/>
        </w:rPr>
        <w:t xml:space="preserve">nge of informal economy, we </w:t>
      </w:r>
      <w:r w:rsidR="00E1113D">
        <w:rPr>
          <w:lang w:eastAsia="en-US"/>
        </w:rPr>
        <w:t>would welcome</w:t>
      </w:r>
      <w:r w:rsidR="00486D64">
        <w:rPr>
          <w:lang w:eastAsia="en-US"/>
        </w:rPr>
        <w:t xml:space="preserve"> </w:t>
      </w:r>
      <w:r w:rsidR="00E1113D">
        <w:rPr>
          <w:lang w:eastAsia="en-US"/>
        </w:rPr>
        <w:t>an overview</w:t>
      </w:r>
      <w:r w:rsidR="00486D64">
        <w:rPr>
          <w:lang w:eastAsia="en-US"/>
        </w:rPr>
        <w:t xml:space="preserve"> of </w:t>
      </w:r>
      <w:r w:rsidR="00E1113D">
        <w:rPr>
          <w:lang w:eastAsia="en-US"/>
        </w:rPr>
        <w:t xml:space="preserve">results of </w:t>
      </w:r>
      <w:r w:rsidR="00486D64">
        <w:rPr>
          <w:lang w:eastAsia="en-US"/>
        </w:rPr>
        <w:t>the actions mentioned in the report</w:t>
      </w:r>
      <w:r w:rsidR="00486D64">
        <w:rPr>
          <w:rStyle w:val="FootnoteReference"/>
          <w:lang w:eastAsia="en-US"/>
        </w:rPr>
        <w:footnoteReference w:id="10"/>
      </w:r>
      <w:r w:rsidR="00486D64">
        <w:rPr>
          <w:lang w:eastAsia="en-US"/>
        </w:rPr>
        <w:t xml:space="preserve">. We note that the </w:t>
      </w:r>
      <w:r w:rsidR="00F44F76">
        <w:rPr>
          <w:lang w:eastAsia="en-US"/>
        </w:rPr>
        <w:t>Economic and Social Affairs Platform</w:t>
      </w:r>
      <w:r w:rsidR="00486D64">
        <w:rPr>
          <w:lang w:eastAsia="en-US"/>
        </w:rPr>
        <w:t xml:space="preserve"> for the Western Balkans</w:t>
      </w:r>
      <w:r w:rsidR="00F44F76">
        <w:rPr>
          <w:rStyle w:val="FootnoteReference"/>
          <w:lang w:eastAsia="en-US"/>
        </w:rPr>
        <w:footnoteReference w:id="11"/>
      </w:r>
      <w:r w:rsidR="00486D64">
        <w:rPr>
          <w:lang w:eastAsia="en-US"/>
        </w:rPr>
        <w:t>and the actions on labour inspection and undeclared work in the European Union</w:t>
      </w:r>
      <w:r w:rsidR="00486D64">
        <w:rPr>
          <w:rStyle w:val="FootnoteReference"/>
          <w:lang w:eastAsia="en-US"/>
        </w:rPr>
        <w:footnoteReference w:id="12"/>
      </w:r>
      <w:r w:rsidR="00486D64">
        <w:rPr>
          <w:lang w:eastAsia="en-US"/>
        </w:rPr>
        <w:t xml:space="preserve"> developed in ILO-EU cooperation</w:t>
      </w:r>
      <w:r w:rsidR="00865350">
        <w:rPr>
          <w:lang w:eastAsia="en-US"/>
        </w:rPr>
        <w:t xml:space="preserve"> particularly address the challenge of workplace compliance.</w:t>
      </w:r>
    </w:p>
    <w:p w14:paraId="3ABA620D" w14:textId="04A7B837" w:rsidR="005317A9" w:rsidRPr="00F44F76" w:rsidRDefault="00234111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 w:rsidRPr="00F44F76">
        <w:rPr>
          <w:lang w:eastAsia="en-US"/>
        </w:rPr>
        <w:t>We also welcome the attention to workers in the informal economy</w:t>
      </w:r>
      <w:r w:rsidR="00F44F76">
        <w:rPr>
          <w:lang w:eastAsia="en-US"/>
        </w:rPr>
        <w:t xml:space="preserve"> and to the construction sector </w:t>
      </w:r>
      <w:r w:rsidRPr="00F44F76">
        <w:rPr>
          <w:lang w:eastAsia="en-US"/>
        </w:rPr>
        <w:t>in building up ILO knowledge</w:t>
      </w:r>
      <w:r w:rsidR="00F44F76">
        <w:rPr>
          <w:lang w:eastAsia="en-US"/>
        </w:rPr>
        <w:t xml:space="preserve"> mentioned in the report</w:t>
      </w:r>
      <w:r w:rsidR="00F44F76">
        <w:rPr>
          <w:rStyle w:val="FootnoteReference"/>
          <w:lang w:eastAsia="en-US"/>
        </w:rPr>
        <w:footnoteReference w:id="13"/>
      </w:r>
      <w:r w:rsidR="007E6AD4">
        <w:rPr>
          <w:lang w:eastAsia="en-US"/>
        </w:rPr>
        <w:t xml:space="preserve">. </w:t>
      </w:r>
      <w:r w:rsidR="007E6AD4" w:rsidRPr="00F44F76">
        <w:rPr>
          <w:lang w:eastAsia="en-US"/>
        </w:rPr>
        <w:t xml:space="preserve">We </w:t>
      </w:r>
      <w:r w:rsidR="00E1113D">
        <w:rPr>
          <w:lang w:eastAsia="en-US"/>
        </w:rPr>
        <w:t>further</w:t>
      </w:r>
      <w:r w:rsidR="007E6AD4">
        <w:rPr>
          <w:lang w:eastAsia="en-US"/>
        </w:rPr>
        <w:t xml:space="preserve"> appreciate that research and good practices have been compiled in a suite of new tools, some of them developed in c</w:t>
      </w:r>
      <w:r w:rsidR="007E6AD4" w:rsidRPr="00F44F76">
        <w:rPr>
          <w:lang w:eastAsia="en-US"/>
        </w:rPr>
        <w:t>ooperation with the European Agency for Safety and Health at Work (EU-OSHA)</w:t>
      </w:r>
      <w:r w:rsidR="007E6AD4" w:rsidRPr="00F44F76">
        <w:rPr>
          <w:rStyle w:val="FootnoteReference"/>
        </w:rPr>
        <w:footnoteReference w:id="14"/>
      </w:r>
      <w:r w:rsidR="000029D1">
        <w:rPr>
          <w:lang w:eastAsia="en-US"/>
        </w:rPr>
        <w:t>.</w:t>
      </w:r>
    </w:p>
    <w:p w14:paraId="1B505B53" w14:textId="3152D96B" w:rsidR="00DC5BC1" w:rsidRPr="00486D64" w:rsidRDefault="00DC5BC1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We welcome the development of partnerships at different levels to enhance knowledge and strengthen cooperation between different actors</w:t>
      </w:r>
      <w:r w:rsidR="00F44F76">
        <w:rPr>
          <w:lang w:eastAsia="en-US"/>
        </w:rPr>
        <w:t xml:space="preserve"> on workplace compliance</w:t>
      </w:r>
      <w:r>
        <w:rPr>
          <w:lang w:eastAsia="en-US"/>
        </w:rPr>
        <w:t xml:space="preserve">. We can also support initiatives towards a global coalition on health and safety at work </w:t>
      </w:r>
      <w:r w:rsidR="00E1113D">
        <w:rPr>
          <w:lang w:eastAsia="en-US"/>
        </w:rPr>
        <w:t xml:space="preserve">launched </w:t>
      </w:r>
      <w:r>
        <w:rPr>
          <w:lang w:eastAsia="en-US"/>
        </w:rPr>
        <w:t>at the XXI World Congress on Health and Safety at Work held in September in Singapore</w:t>
      </w:r>
      <w:r>
        <w:rPr>
          <w:rStyle w:val="FootnoteReference"/>
          <w:lang w:eastAsia="en-US"/>
        </w:rPr>
        <w:footnoteReference w:id="15"/>
      </w:r>
      <w:r w:rsidR="000029D1">
        <w:rPr>
          <w:lang w:eastAsia="en-US"/>
        </w:rPr>
        <w:t>.</w:t>
      </w:r>
    </w:p>
    <w:p w14:paraId="74CC4761" w14:textId="77777777" w:rsidR="00865350" w:rsidRPr="00865350" w:rsidRDefault="00BA071C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i/>
          <w:lang w:eastAsia="en-US"/>
        </w:rPr>
      </w:pPr>
      <w:r w:rsidRPr="00486D64">
        <w:rPr>
          <w:lang w:eastAsia="en-US"/>
        </w:rPr>
        <w:t>We agree with the lessons lea</w:t>
      </w:r>
      <w:r>
        <w:rPr>
          <w:lang w:eastAsia="en-US"/>
        </w:rPr>
        <w:t>rned as regards the need for comprehensive approach</w:t>
      </w:r>
      <w:r w:rsidR="000402ED">
        <w:rPr>
          <w:lang w:eastAsia="en-US"/>
        </w:rPr>
        <w:t>es</w:t>
      </w:r>
      <w:r w:rsidR="00E1113D">
        <w:rPr>
          <w:lang w:eastAsia="en-US"/>
        </w:rPr>
        <w:t xml:space="preserve"> to workplace compliance</w:t>
      </w:r>
      <w:r>
        <w:rPr>
          <w:rStyle w:val="FootnoteReference"/>
          <w:lang w:eastAsia="en-US"/>
        </w:rPr>
        <w:footnoteReference w:id="16"/>
      </w:r>
      <w:r w:rsidR="00C43667">
        <w:rPr>
          <w:i/>
          <w:lang w:eastAsia="en-US"/>
        </w:rPr>
        <w:t xml:space="preserve">. </w:t>
      </w:r>
      <w:r w:rsidR="00C43667">
        <w:rPr>
          <w:lang w:eastAsia="en-US"/>
        </w:rPr>
        <w:t>A</w:t>
      </w:r>
      <w:r w:rsidR="00C43667" w:rsidRPr="00C43667">
        <w:rPr>
          <w:lang w:eastAsia="en-US"/>
        </w:rPr>
        <w:t>ttention to sufficient resources and coordination between different actors, including social partners</w:t>
      </w:r>
      <w:r w:rsidR="00C43667">
        <w:rPr>
          <w:lang w:eastAsia="en-US"/>
        </w:rPr>
        <w:t>,</w:t>
      </w:r>
      <w:r w:rsidR="00C43667" w:rsidRPr="00C43667">
        <w:rPr>
          <w:lang w:eastAsia="en-US"/>
        </w:rPr>
        <w:t xml:space="preserve"> is needed to produce results</w:t>
      </w:r>
      <w:r w:rsidR="00C43667">
        <w:rPr>
          <w:lang w:eastAsia="en-US"/>
        </w:rPr>
        <w:t xml:space="preserve">, as </w:t>
      </w:r>
      <w:r w:rsidR="00C43667" w:rsidRPr="00C43667">
        <w:rPr>
          <w:lang w:eastAsia="en-US"/>
        </w:rPr>
        <w:t>we could experience through the ILO-EU cooperation in the context of the EU sustainability Compact in Bangladesh following the Rana Plaza collapse</w:t>
      </w:r>
      <w:r w:rsidR="00C43667" w:rsidRPr="00C43667">
        <w:rPr>
          <w:rStyle w:val="FootnoteReference"/>
        </w:rPr>
        <w:footnoteReference w:id="17"/>
      </w:r>
      <w:r w:rsidR="00C43667">
        <w:rPr>
          <w:lang w:eastAsia="en-US"/>
        </w:rPr>
        <w:t>,</w:t>
      </w:r>
      <w:r w:rsidR="00C43667" w:rsidRPr="00C43667">
        <w:rPr>
          <w:lang w:eastAsia="en-US"/>
        </w:rPr>
        <w:t xml:space="preserve"> in Turkey following the Soma mining disaster</w:t>
      </w:r>
      <w:r w:rsidR="00C43667">
        <w:rPr>
          <w:rStyle w:val="FootnoteReference"/>
          <w:lang w:eastAsia="en-US"/>
        </w:rPr>
        <w:footnoteReference w:id="18"/>
      </w:r>
      <w:r w:rsidR="00C43667">
        <w:rPr>
          <w:lang w:eastAsia="en-US"/>
        </w:rPr>
        <w:t xml:space="preserve"> and in Thailand to combat unacceptable forms of work in the fishing and seafood industry</w:t>
      </w:r>
      <w:r w:rsidR="00C43667">
        <w:rPr>
          <w:rStyle w:val="FootnoteReference"/>
          <w:lang w:eastAsia="en-US"/>
        </w:rPr>
        <w:footnoteReference w:id="19"/>
      </w:r>
      <w:r w:rsidR="00865350">
        <w:rPr>
          <w:lang w:eastAsia="en-US"/>
        </w:rPr>
        <w:t xml:space="preserve">. </w:t>
      </w:r>
    </w:p>
    <w:p w14:paraId="5BDB5856" w14:textId="77777777" w:rsidR="00865350" w:rsidRPr="000402ED" w:rsidRDefault="00865350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i/>
          <w:lang w:eastAsia="en-US"/>
        </w:rPr>
      </w:pPr>
      <w:r w:rsidRPr="00865350">
        <w:rPr>
          <w:lang w:eastAsia="en-US"/>
        </w:rPr>
        <w:t xml:space="preserve">We share the view that more investment and resources in building institutional capacity </w:t>
      </w:r>
      <w:r>
        <w:rPr>
          <w:lang w:eastAsia="en-US"/>
        </w:rPr>
        <w:t>is</w:t>
      </w:r>
      <w:r w:rsidRPr="00865350">
        <w:rPr>
          <w:lang w:eastAsia="en-US"/>
        </w:rPr>
        <w:t xml:space="preserve"> needed</w:t>
      </w:r>
      <w:r>
        <w:rPr>
          <w:rStyle w:val="FootnoteReference"/>
          <w:lang w:eastAsia="en-US"/>
        </w:rPr>
        <w:footnoteReference w:id="20"/>
      </w:r>
      <w:r w:rsidRPr="00865350">
        <w:rPr>
          <w:lang w:eastAsia="en-US"/>
        </w:rPr>
        <w:t xml:space="preserve">. In this regard, the EU OSH Strategic Framework includes a </w:t>
      </w:r>
      <w:r w:rsidRPr="00865350">
        <w:rPr>
          <w:lang w:eastAsia="en-US"/>
        </w:rPr>
        <w:lastRenderedPageBreak/>
        <w:t>specific strategic objective to achieve a better enforcement of legislation in the EU</w:t>
      </w:r>
      <w:r w:rsidRPr="00865350">
        <w:rPr>
          <w:rStyle w:val="FootnoteReference"/>
          <w:color w:val="000000" w:themeColor="text1"/>
        </w:rPr>
        <w:footnoteReference w:id="21"/>
      </w:r>
      <w:r w:rsidRPr="00865350">
        <w:rPr>
          <w:lang w:eastAsia="en-US"/>
        </w:rPr>
        <w:t xml:space="preserve">. </w:t>
      </w:r>
      <w:r w:rsidR="00601873">
        <w:rPr>
          <w:lang w:eastAsia="en-US"/>
        </w:rPr>
        <w:t xml:space="preserve">Enhancing enforcement in the area of OSH is also one of the priorities </w:t>
      </w:r>
      <w:r w:rsidR="00025C2C">
        <w:rPr>
          <w:lang w:eastAsia="en-US"/>
        </w:rPr>
        <w:t>identified</w:t>
      </w:r>
      <w:r w:rsidR="00601873">
        <w:rPr>
          <w:lang w:eastAsia="en-US"/>
        </w:rPr>
        <w:t xml:space="preserve"> by the 2017 Commission Communication Safer and Healthier Work for All – Modernisation of the EU </w:t>
      </w:r>
      <w:r w:rsidR="00025C2C">
        <w:rPr>
          <w:lang w:eastAsia="en-US"/>
        </w:rPr>
        <w:t>Occupational</w:t>
      </w:r>
      <w:r w:rsidR="00601873">
        <w:rPr>
          <w:lang w:eastAsia="en-US"/>
        </w:rPr>
        <w:t xml:space="preserve"> safety and Health Legislation and Policy</w:t>
      </w:r>
      <w:r w:rsidR="00601873">
        <w:rPr>
          <w:rStyle w:val="FootnoteReference"/>
          <w:lang w:eastAsia="en-US"/>
        </w:rPr>
        <w:footnoteReference w:id="22"/>
      </w:r>
      <w:r w:rsidR="00601873">
        <w:rPr>
          <w:lang w:eastAsia="en-US"/>
        </w:rPr>
        <w:t xml:space="preserve">. </w:t>
      </w:r>
      <w:r w:rsidRPr="00865350">
        <w:rPr>
          <w:lang w:eastAsia="en-US"/>
        </w:rPr>
        <w:t xml:space="preserve">Exchange of good practice between labour inspectorates is </w:t>
      </w:r>
      <w:r>
        <w:rPr>
          <w:lang w:eastAsia="en-US"/>
        </w:rPr>
        <w:t xml:space="preserve">also </w:t>
      </w:r>
      <w:r w:rsidRPr="00865350">
        <w:rPr>
          <w:lang w:eastAsia="en-US"/>
        </w:rPr>
        <w:t xml:space="preserve">an instrument to improve their efficiency, </w:t>
      </w:r>
      <w:r>
        <w:rPr>
          <w:lang w:eastAsia="en-US"/>
        </w:rPr>
        <w:t>as shown by</w:t>
      </w:r>
      <w:r w:rsidRPr="00865350">
        <w:rPr>
          <w:lang w:eastAsia="en-US"/>
        </w:rPr>
        <w:t xml:space="preserve"> the EU Senior Labour Inspectors’ Committee</w:t>
      </w:r>
      <w:r w:rsidR="00C47D9B">
        <w:rPr>
          <w:rStyle w:val="FootnoteReference"/>
          <w:lang w:eastAsia="en-US"/>
        </w:rPr>
        <w:footnoteReference w:id="23"/>
      </w:r>
      <w:r w:rsidRPr="000402ED">
        <w:rPr>
          <w:i/>
          <w:lang w:eastAsia="en-US"/>
        </w:rPr>
        <w:t>.</w:t>
      </w:r>
    </w:p>
    <w:p w14:paraId="08D8BE14" w14:textId="77777777" w:rsidR="00865350" w:rsidRPr="00865350" w:rsidRDefault="00486D64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i/>
          <w:lang w:eastAsia="en-US"/>
        </w:rPr>
      </w:pPr>
      <w:r>
        <w:rPr>
          <w:lang w:eastAsia="en-US"/>
        </w:rPr>
        <w:t xml:space="preserve"> </w:t>
      </w:r>
      <w:r w:rsidR="00865350" w:rsidRPr="00865350">
        <w:rPr>
          <w:lang w:eastAsia="en-US"/>
        </w:rPr>
        <w:t>We consider that much remains to be done to address informal economy and undeclared work, lack of a preventive culture regarding occupational health and safety as well as situations of gross violations of rights such as child labour and forced labour. In addition, non-standard forms of employment and outsourcing of work make the intervention of labour inspectors more difficult</w:t>
      </w:r>
      <w:r w:rsidR="00865350" w:rsidRPr="007A789F">
        <w:rPr>
          <w:rStyle w:val="FootnoteReference"/>
          <w:lang w:eastAsia="en-US"/>
        </w:rPr>
        <w:footnoteReference w:id="24"/>
      </w:r>
      <w:r w:rsidR="00865350" w:rsidRPr="00865350">
        <w:rPr>
          <w:i/>
          <w:lang w:eastAsia="en-US"/>
        </w:rPr>
        <w:t>.</w:t>
      </w:r>
    </w:p>
    <w:p w14:paraId="7E00A8C7" w14:textId="631ACF01" w:rsidR="00BA071C" w:rsidRDefault="00BA071C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Compliance is a multi-faceted strategy w</w:t>
      </w:r>
      <w:r w:rsidR="005211AE">
        <w:rPr>
          <w:lang w:eastAsia="en-US"/>
        </w:rPr>
        <w:t>ith numerous inter-linkages to</w:t>
      </w:r>
      <w:r>
        <w:rPr>
          <w:lang w:eastAsia="en-US"/>
        </w:rPr>
        <w:t xml:space="preserve"> other areas of the ILO’s intervention. The ILO’s experience in different projects has demonstrated that policies work best when integrated with others. Of particular importance is the link to Outcome 8 on the protection of workers from unacceptable forms of work</w:t>
      </w:r>
      <w:r>
        <w:rPr>
          <w:rStyle w:val="FootnoteReference"/>
          <w:lang w:eastAsia="en-US"/>
        </w:rPr>
        <w:footnoteReference w:id="25"/>
      </w:r>
      <w:r>
        <w:rPr>
          <w:lang w:eastAsia="en-US"/>
        </w:rPr>
        <w:t>.</w:t>
      </w:r>
      <w:r w:rsidR="000402ED">
        <w:rPr>
          <w:lang w:eastAsia="en-US"/>
        </w:rPr>
        <w:t xml:space="preserve"> Some Decent Work Country Programmes may however need to be reviewed to integrate compliance-related interventions in an appropriate way</w:t>
      </w:r>
      <w:r w:rsidR="000402ED">
        <w:rPr>
          <w:rStyle w:val="FootnoteReference"/>
          <w:lang w:eastAsia="en-US"/>
        </w:rPr>
        <w:footnoteReference w:id="26"/>
      </w:r>
      <w:r w:rsidR="000402ED">
        <w:rPr>
          <w:lang w:eastAsia="en-US"/>
        </w:rPr>
        <w:t>.</w:t>
      </w:r>
      <w:r w:rsidR="00486D64" w:rsidRPr="00486D64">
        <w:rPr>
          <w:lang w:eastAsia="en-US"/>
        </w:rPr>
        <w:t xml:space="preserve"> </w:t>
      </w:r>
      <w:r w:rsidR="00486D64">
        <w:rPr>
          <w:lang w:eastAsia="en-US"/>
        </w:rPr>
        <w:t>We recall the interesting results of t</w:t>
      </w:r>
      <w:r w:rsidR="00486D64" w:rsidRPr="00486D64">
        <w:rPr>
          <w:lang w:eastAsia="en-US"/>
        </w:rPr>
        <w:t>he project done in EU-ILO cooperation on "Improving safety and health at work through a Decent Work Agenda" in Honduras, Malawi, Republic of Moldova, Ukraine and Zambia</w:t>
      </w:r>
      <w:r w:rsidR="00486D64">
        <w:rPr>
          <w:lang w:eastAsia="en-US"/>
        </w:rPr>
        <w:t xml:space="preserve"> in this regard</w:t>
      </w:r>
      <w:r w:rsidR="00486D64" w:rsidRPr="007A789F">
        <w:rPr>
          <w:rStyle w:val="FootnoteReference"/>
          <w:color w:val="000000" w:themeColor="text1"/>
        </w:rPr>
        <w:footnoteReference w:id="27"/>
      </w:r>
      <w:r w:rsidR="00486D64">
        <w:rPr>
          <w:lang w:eastAsia="en-US"/>
        </w:rPr>
        <w:t>.</w:t>
      </w:r>
    </w:p>
    <w:p w14:paraId="7A57DE3D" w14:textId="526BA3A1" w:rsidR="005317A9" w:rsidRPr="005317A9" w:rsidRDefault="00DD1CBF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 xml:space="preserve">While we welcome that the report mentions the contribution of </w:t>
      </w:r>
      <w:r w:rsidR="000029D1">
        <w:rPr>
          <w:lang w:eastAsia="en-US"/>
        </w:rPr>
        <w:t>O</w:t>
      </w:r>
      <w:r>
        <w:rPr>
          <w:lang w:eastAsia="en-US"/>
        </w:rPr>
        <w:t>utcome 7 to the Sustainable Development Goals</w:t>
      </w:r>
      <w:r>
        <w:rPr>
          <w:rStyle w:val="FootnoteReference"/>
          <w:lang w:eastAsia="en-US"/>
        </w:rPr>
        <w:footnoteReference w:id="28"/>
      </w:r>
      <w:r>
        <w:rPr>
          <w:lang w:eastAsia="en-US"/>
        </w:rPr>
        <w:t>, we</w:t>
      </w:r>
      <w:r w:rsidR="00234111">
        <w:rPr>
          <w:lang w:eastAsia="en-US"/>
        </w:rPr>
        <w:t xml:space="preserve"> feel that </w:t>
      </w:r>
      <w:r>
        <w:rPr>
          <w:lang w:eastAsia="en-US"/>
        </w:rPr>
        <w:t>its contribution to implement</w:t>
      </w:r>
      <w:r w:rsidR="00234111">
        <w:rPr>
          <w:lang w:eastAsia="en-US"/>
        </w:rPr>
        <w:t xml:space="preserve"> the </w:t>
      </w:r>
      <w:r>
        <w:rPr>
          <w:lang w:eastAsia="en-US"/>
        </w:rPr>
        <w:t xml:space="preserve">conclusions of the 2015 and 2017 </w:t>
      </w:r>
      <w:r w:rsidR="00234111">
        <w:rPr>
          <w:lang w:eastAsia="en-US"/>
        </w:rPr>
        <w:t>recurrent discussion</w:t>
      </w:r>
      <w:r>
        <w:rPr>
          <w:lang w:eastAsia="en-US"/>
        </w:rPr>
        <w:t>s</w:t>
      </w:r>
      <w:r w:rsidR="00234111">
        <w:rPr>
          <w:lang w:eastAsia="en-US"/>
        </w:rPr>
        <w:t xml:space="preserve"> on labour protection </w:t>
      </w:r>
      <w:r>
        <w:rPr>
          <w:lang w:eastAsia="en-US"/>
        </w:rPr>
        <w:t>and on Fundamental Principles and Rights at Work</w:t>
      </w:r>
      <w:r w:rsidR="00F86105">
        <w:rPr>
          <w:lang w:eastAsia="en-US"/>
        </w:rPr>
        <w:t xml:space="preserve"> should feature more clearly. </w:t>
      </w:r>
      <w:r w:rsidR="002D3BD9">
        <w:rPr>
          <w:lang w:eastAsia="en-US"/>
        </w:rPr>
        <w:t>Both</w:t>
      </w:r>
      <w:r w:rsidR="00F86105">
        <w:rPr>
          <w:lang w:eastAsia="en-US"/>
        </w:rPr>
        <w:t xml:space="preserve"> </w:t>
      </w:r>
      <w:r w:rsidR="002D3BD9">
        <w:rPr>
          <w:lang w:eastAsia="en-US"/>
        </w:rPr>
        <w:t xml:space="preserve">conclusions </w:t>
      </w:r>
      <w:r w:rsidR="00F86105">
        <w:rPr>
          <w:lang w:eastAsia="en-US"/>
        </w:rPr>
        <w:t>clearly mention</w:t>
      </w:r>
      <w:r w:rsidR="002D3BD9">
        <w:rPr>
          <w:lang w:eastAsia="en-US"/>
        </w:rPr>
        <w:t xml:space="preserve"> the challenges and role of compliance,</w:t>
      </w:r>
      <w:r w:rsidR="00F86105">
        <w:rPr>
          <w:lang w:eastAsia="en-US"/>
        </w:rPr>
        <w:t xml:space="preserve"> enforcement</w:t>
      </w:r>
      <w:r w:rsidR="002D3BD9">
        <w:rPr>
          <w:lang w:eastAsia="en-US"/>
        </w:rPr>
        <w:t xml:space="preserve"> and</w:t>
      </w:r>
      <w:r w:rsidR="00F86105">
        <w:rPr>
          <w:lang w:eastAsia="en-US"/>
        </w:rPr>
        <w:t xml:space="preserve"> labour inspection</w:t>
      </w:r>
      <w:r w:rsidR="00234111" w:rsidRPr="005317A9">
        <w:rPr>
          <w:i/>
          <w:iCs/>
          <w:lang w:eastAsia="en-US"/>
        </w:rPr>
        <w:t>.</w:t>
      </w:r>
    </w:p>
    <w:p w14:paraId="17F5C56C" w14:textId="77777777" w:rsidR="005317A9" w:rsidRDefault="00234111" w:rsidP="00FB44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lang w:eastAsia="en-US"/>
        </w:rPr>
      </w:pPr>
      <w:r>
        <w:rPr>
          <w:lang w:eastAsia="en-US"/>
        </w:rPr>
        <w:t>In conclusion, we support the decision point provided that our guidance is taken into</w:t>
      </w:r>
      <w:r w:rsidR="005317A9">
        <w:rPr>
          <w:lang w:eastAsia="en-US"/>
        </w:rPr>
        <w:t xml:space="preserve"> </w:t>
      </w:r>
      <w:r>
        <w:rPr>
          <w:lang w:eastAsia="en-US"/>
        </w:rPr>
        <w:t>consideration.</w:t>
      </w:r>
    </w:p>
    <w:p w14:paraId="4AA36C11" w14:textId="77777777" w:rsidR="00234111" w:rsidRDefault="00234111" w:rsidP="005317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rPr>
          <w:lang w:eastAsia="en-US"/>
        </w:rPr>
      </w:pPr>
      <w:r>
        <w:rPr>
          <w:lang w:eastAsia="en-US"/>
        </w:rPr>
        <w:t>Thank you, Chairperson.</w:t>
      </w:r>
    </w:p>
    <w:p w14:paraId="7A75ABFA" w14:textId="77777777" w:rsidR="009C5328" w:rsidRDefault="009C5328" w:rsidP="00D749F9"/>
    <w:p w14:paraId="0F5393EE" w14:textId="77777777" w:rsidR="007B621E" w:rsidRPr="00CA4450" w:rsidRDefault="00CA4450" w:rsidP="00D749F9">
      <w:pPr>
        <w:rPr>
          <w:b/>
          <w:u w:val="single"/>
        </w:rPr>
      </w:pPr>
      <w:r w:rsidRPr="00CA4450">
        <w:rPr>
          <w:b/>
          <w:u w:val="single"/>
        </w:rPr>
        <w:t>Links</w:t>
      </w:r>
    </w:p>
    <w:p w14:paraId="145EB98D" w14:textId="77777777" w:rsidR="00CA4450" w:rsidRDefault="00CA4450" w:rsidP="00D749F9"/>
    <w:p w14:paraId="11011085" w14:textId="77777777" w:rsidR="00CA20D9" w:rsidRDefault="00CA20D9" w:rsidP="00CA20D9">
      <w:pPr>
        <w:jc w:val="both"/>
        <w:rPr>
          <w:rStyle w:val="Hyperlink"/>
        </w:rPr>
      </w:pPr>
      <w:r w:rsidRPr="00CA4450">
        <w:rPr>
          <w:color w:val="000000" w:themeColor="text1"/>
        </w:rPr>
        <w:t>ILO report GB 3</w:t>
      </w:r>
      <w:r>
        <w:rPr>
          <w:color w:val="000000" w:themeColor="text1"/>
        </w:rPr>
        <w:t>31</w:t>
      </w:r>
      <w:r w:rsidRPr="00CA4450"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POL/4 "Outcome 7</w:t>
      </w:r>
      <w:r w:rsidRPr="00CA4450">
        <w:rPr>
          <w:color w:val="000000" w:themeColor="text1"/>
          <w:lang w:val="en-US"/>
        </w:rPr>
        <w:t xml:space="preserve">: </w:t>
      </w:r>
      <w:r>
        <w:rPr>
          <w:color w:val="000000" w:themeColor="text1"/>
          <w:lang w:val="en-US"/>
        </w:rPr>
        <w:t>Promoting</w:t>
      </w:r>
      <w:r w:rsidRPr="00CA4450">
        <w:rPr>
          <w:color w:val="000000" w:themeColor="text1"/>
          <w:lang w:val="en-US"/>
        </w:rPr>
        <w:t xml:space="preserve"> workplace compliance through </w:t>
      </w:r>
      <w:proofErr w:type="spellStart"/>
      <w:r w:rsidRPr="00CA4450">
        <w:rPr>
          <w:color w:val="000000" w:themeColor="text1"/>
          <w:lang w:val="en-US"/>
        </w:rPr>
        <w:t>labour</w:t>
      </w:r>
      <w:proofErr w:type="spellEnd"/>
      <w:r w:rsidRPr="00CA4450">
        <w:rPr>
          <w:color w:val="000000" w:themeColor="text1"/>
          <w:lang w:val="en-US"/>
        </w:rPr>
        <w:t xml:space="preserve"> inspection</w:t>
      </w:r>
      <w:r>
        <w:rPr>
          <w:color w:val="000000" w:themeColor="text1"/>
          <w:lang w:val="en-US"/>
        </w:rPr>
        <w:t>"</w:t>
      </w:r>
      <w:proofErr w:type="gramStart"/>
      <w:r w:rsidRPr="00CA4450">
        <w:rPr>
          <w:color w:val="000000" w:themeColor="text1"/>
          <w:lang w:val="en-US"/>
        </w:rPr>
        <w:t xml:space="preserve">, </w:t>
      </w:r>
      <w:r w:rsidRPr="00CA4450">
        <w:rPr>
          <w:color w:val="000000" w:themeColor="text1"/>
        </w:rPr>
        <w:t xml:space="preserve"> </w:t>
      </w:r>
      <w:r w:rsidRPr="00CA20D9">
        <w:rPr>
          <w:rStyle w:val="Hyperlink"/>
        </w:rPr>
        <w:t>http</w:t>
      </w:r>
      <w:proofErr w:type="gramEnd"/>
      <w:r w:rsidRPr="00CA20D9">
        <w:rPr>
          <w:rStyle w:val="Hyperlink"/>
        </w:rPr>
        <w:t>://www.ilo.org/gb/GBSessions/GB331/pol/WCMS_580941/lang--</w:t>
      </w:r>
      <w:proofErr w:type="spellStart"/>
      <w:r w:rsidRPr="00CA20D9">
        <w:rPr>
          <w:rStyle w:val="Hyperlink"/>
        </w:rPr>
        <w:t>en</w:t>
      </w:r>
      <w:proofErr w:type="spellEnd"/>
      <w:r w:rsidRPr="00CA20D9">
        <w:rPr>
          <w:rStyle w:val="Hyperlink"/>
        </w:rPr>
        <w:t>/index.htm</w:t>
      </w:r>
    </w:p>
    <w:p w14:paraId="70E37DEE" w14:textId="77777777" w:rsidR="00CA20D9" w:rsidRDefault="00CA20D9" w:rsidP="00CA20D9">
      <w:pPr>
        <w:jc w:val="both"/>
        <w:rPr>
          <w:rStyle w:val="Hyperlink"/>
        </w:rPr>
      </w:pPr>
    </w:p>
    <w:p w14:paraId="6262F577" w14:textId="77777777" w:rsidR="00CA20D9" w:rsidRPr="00CA4450" w:rsidRDefault="00CA20D9" w:rsidP="00CA20D9">
      <w:pPr>
        <w:jc w:val="both"/>
        <w:rPr>
          <w:color w:val="000000" w:themeColor="text1"/>
        </w:rPr>
      </w:pPr>
      <w:r w:rsidRPr="00CA4450">
        <w:rPr>
          <w:color w:val="000000" w:themeColor="text1"/>
        </w:rPr>
        <w:t>ILO report GB 325</w:t>
      </w:r>
      <w:r>
        <w:rPr>
          <w:color w:val="000000" w:themeColor="text1"/>
        </w:rPr>
        <w:t xml:space="preserve"> October 2015</w:t>
      </w:r>
      <w:r w:rsidRPr="00CA4450"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POL/4 "A</w:t>
      </w:r>
      <w:r w:rsidRPr="00CA4450">
        <w:rPr>
          <w:color w:val="000000" w:themeColor="text1"/>
          <w:lang w:val="en-US"/>
        </w:rPr>
        <w:t xml:space="preserve">rea of critical importance: Strengthening workplace compliance through </w:t>
      </w:r>
      <w:proofErr w:type="spellStart"/>
      <w:r w:rsidRPr="00CA4450">
        <w:rPr>
          <w:color w:val="000000" w:themeColor="text1"/>
          <w:lang w:val="en-US"/>
        </w:rPr>
        <w:t>labour</w:t>
      </w:r>
      <w:proofErr w:type="spellEnd"/>
      <w:r w:rsidRPr="00CA4450">
        <w:rPr>
          <w:color w:val="000000" w:themeColor="text1"/>
          <w:lang w:val="en-US"/>
        </w:rPr>
        <w:t xml:space="preserve"> inspection</w:t>
      </w:r>
      <w:r>
        <w:rPr>
          <w:color w:val="000000" w:themeColor="text1"/>
          <w:lang w:val="en-US"/>
        </w:rPr>
        <w:t xml:space="preserve">" </w:t>
      </w:r>
      <w:hyperlink r:id="rId11" w:history="1">
        <w:r w:rsidRPr="00CA4450">
          <w:rPr>
            <w:rStyle w:val="Hyperlink"/>
          </w:rPr>
          <w:t>http://www.ilo.org/gb/GBSessions/GB325/pol/WCMS_413822/lang--</w:t>
        </w:r>
        <w:proofErr w:type="spellStart"/>
        <w:r w:rsidRPr="00CA4450">
          <w:rPr>
            <w:rStyle w:val="Hyperlink"/>
          </w:rPr>
          <w:t>en</w:t>
        </w:r>
        <w:proofErr w:type="spellEnd"/>
        <w:r w:rsidRPr="00CA4450">
          <w:rPr>
            <w:rStyle w:val="Hyperlink"/>
          </w:rPr>
          <w:t>/index.htm</w:t>
        </w:r>
      </w:hyperlink>
      <w:r w:rsidRPr="00CA4450">
        <w:rPr>
          <w:color w:val="000000" w:themeColor="text1"/>
        </w:rPr>
        <w:t xml:space="preserve"> </w:t>
      </w:r>
    </w:p>
    <w:p w14:paraId="096FC68D" w14:textId="77777777" w:rsidR="00CA20D9" w:rsidRPr="00CA4450" w:rsidRDefault="00CA20D9" w:rsidP="00CA20D9">
      <w:pPr>
        <w:jc w:val="both"/>
        <w:rPr>
          <w:color w:val="000000" w:themeColor="text1"/>
        </w:rPr>
      </w:pPr>
    </w:p>
    <w:p w14:paraId="2020CD6A" w14:textId="77777777" w:rsidR="00234111" w:rsidRPr="00234111" w:rsidRDefault="00234111" w:rsidP="00234111">
      <w:pPr>
        <w:autoSpaceDE w:val="0"/>
        <w:autoSpaceDN w:val="0"/>
        <w:adjustRightInd w:val="0"/>
      </w:pPr>
      <w:r>
        <w:lastRenderedPageBreak/>
        <w:t>EU Statement November 2015 "</w:t>
      </w:r>
      <w:r w:rsidRPr="00234111">
        <w:t xml:space="preserve"> Area of critical importance: Strengthening workplace compliance through labour inspection - GB.325/POL/4"</w:t>
      </w:r>
    </w:p>
    <w:p w14:paraId="25752C35" w14:textId="77777777" w:rsidR="00234111" w:rsidRDefault="00995E14" w:rsidP="00234111">
      <w:hyperlink r:id="rId12" w:history="1">
        <w:r w:rsidR="00234111" w:rsidRPr="00247F8B">
          <w:rPr>
            <w:rStyle w:val="Hyperlink"/>
          </w:rPr>
          <w:t>http://eeas.europa.eu/archives/delegations/un_geneva/documents/eu_statments/ilo/pol_4.pdf</w:t>
        </w:r>
      </w:hyperlink>
    </w:p>
    <w:p w14:paraId="1B2DB8C9" w14:textId="77777777" w:rsidR="00234111" w:rsidRDefault="00234111" w:rsidP="00234111"/>
    <w:p w14:paraId="4416AE18" w14:textId="77777777" w:rsidR="00CA20D9" w:rsidRPr="00CA4450" w:rsidRDefault="00CA20D9" w:rsidP="00CA20D9">
      <w:pPr>
        <w:pStyle w:val="Default"/>
        <w:rPr>
          <w:bCs/>
          <w:color w:val="000000" w:themeColor="text1"/>
          <w:sz w:val="23"/>
          <w:szCs w:val="23"/>
        </w:rPr>
      </w:pPr>
      <w:r w:rsidRPr="00CA4450">
        <w:rPr>
          <w:color w:val="000000" w:themeColor="text1"/>
        </w:rPr>
        <w:t xml:space="preserve">Council Conclusions on </w:t>
      </w:r>
      <w:r w:rsidRPr="00CA4450">
        <w:rPr>
          <w:bCs/>
          <w:color w:val="000000" w:themeColor="text1"/>
          <w:sz w:val="23"/>
          <w:szCs w:val="23"/>
        </w:rPr>
        <w:t xml:space="preserve">EU Strategic Framework on Health and Safety at Work 2014-2020: Adapting to new challenges, March 2015 </w:t>
      </w:r>
      <w:hyperlink r:id="rId13" w:history="1">
        <w:r w:rsidRPr="00CA4450">
          <w:rPr>
            <w:rStyle w:val="Hyperlink"/>
            <w:lang w:val="en-GB" w:eastAsia="en-GB"/>
          </w:rPr>
          <w:t>http://register.consilium.europa.eu/doc/srv?l=EN&amp;f=ST%206535%202015%20INIT</w:t>
        </w:r>
      </w:hyperlink>
      <w:r w:rsidRPr="00CA4450">
        <w:rPr>
          <w:bCs/>
          <w:color w:val="000000" w:themeColor="text1"/>
          <w:sz w:val="23"/>
          <w:szCs w:val="23"/>
        </w:rPr>
        <w:t xml:space="preserve"> </w:t>
      </w:r>
    </w:p>
    <w:p w14:paraId="3521959A" w14:textId="77777777" w:rsidR="00CA20D9" w:rsidRPr="00CA20D9" w:rsidRDefault="00CA20D9" w:rsidP="00234111">
      <w:pPr>
        <w:rPr>
          <w:lang w:val="hu-HU"/>
        </w:rPr>
      </w:pPr>
    </w:p>
    <w:p w14:paraId="64750857" w14:textId="77777777" w:rsidR="00234111" w:rsidRDefault="00234111" w:rsidP="00234111">
      <w:r>
        <w:t>EU statements at ILO since March 2016</w:t>
      </w:r>
    </w:p>
    <w:p w14:paraId="78CDD1CF" w14:textId="77777777" w:rsidR="00D352A6" w:rsidRDefault="00995E14" w:rsidP="00D749F9">
      <w:pPr>
        <w:rPr>
          <w:sz w:val="20"/>
          <w:szCs w:val="20"/>
        </w:rPr>
      </w:pPr>
      <w:hyperlink r:id="rId14" w:history="1">
        <w:r w:rsidR="00D352A6" w:rsidRPr="00BE7590">
          <w:rPr>
            <w:rStyle w:val="Hyperlink"/>
            <w:sz w:val="20"/>
            <w:szCs w:val="20"/>
          </w:rPr>
          <w:t>https://eeas.europa.eu/delegations/un-geneva/search/site_en/?f[0]=im_field_tags%3A379&amp;f[1]=im_field_eeas_organisation%3A62</w:t>
        </w:r>
      </w:hyperlink>
    </w:p>
    <w:p w14:paraId="0AF6FB19" w14:textId="77777777" w:rsidR="00D352A6" w:rsidRDefault="00D352A6" w:rsidP="00D749F9"/>
    <w:p w14:paraId="400B9C2A" w14:textId="77777777" w:rsidR="00234111" w:rsidRDefault="00234111" w:rsidP="00D749F9">
      <w:r>
        <w:t>EU statements at ILO prior to March 2016</w:t>
      </w:r>
    </w:p>
    <w:p w14:paraId="1872C5EF" w14:textId="77777777" w:rsidR="00234111" w:rsidRDefault="00995E14" w:rsidP="00D749F9">
      <w:hyperlink r:id="rId15" w:history="1">
        <w:r w:rsidR="00234111" w:rsidRPr="00247F8B">
          <w:rPr>
            <w:rStyle w:val="Hyperlink"/>
          </w:rPr>
          <w:t>http://eeas.europa.eu/archives/delegations/un_geneva/eu_statments/ilo/index_en.htm</w:t>
        </w:r>
      </w:hyperlink>
      <w:r w:rsidR="00234111">
        <w:t xml:space="preserve"> </w:t>
      </w:r>
    </w:p>
    <w:p w14:paraId="06203107" w14:textId="77777777" w:rsidR="00CA20D9" w:rsidRDefault="00CA20D9" w:rsidP="008F1151">
      <w:pPr>
        <w:jc w:val="both"/>
        <w:rPr>
          <w:color w:val="000000" w:themeColor="text1"/>
        </w:rPr>
      </w:pPr>
    </w:p>
    <w:p w14:paraId="1C058CCC" w14:textId="77777777" w:rsidR="008F1151" w:rsidRPr="00CA4450" w:rsidRDefault="008F1151" w:rsidP="008F1151">
      <w:pPr>
        <w:jc w:val="both"/>
        <w:rPr>
          <w:color w:val="000000" w:themeColor="text1"/>
        </w:rPr>
      </w:pPr>
      <w:r w:rsidRPr="00CA4450">
        <w:rPr>
          <w:color w:val="000000" w:themeColor="text1"/>
        </w:rPr>
        <w:t>Council Conclusions on the impact of an ageing workforce and population on</w:t>
      </w:r>
    </w:p>
    <w:p w14:paraId="1BF72AE1" w14:textId="77777777" w:rsidR="008F1151" w:rsidRPr="00CA4450" w:rsidRDefault="008F1151" w:rsidP="008F1151">
      <w:pPr>
        <w:jc w:val="both"/>
        <w:rPr>
          <w:color w:val="000000" w:themeColor="text1"/>
        </w:rPr>
      </w:pPr>
      <w:proofErr w:type="gramStart"/>
      <w:r w:rsidRPr="00CA4450">
        <w:rPr>
          <w:color w:val="000000" w:themeColor="text1"/>
        </w:rPr>
        <w:t>employment</w:t>
      </w:r>
      <w:proofErr w:type="gramEnd"/>
      <w:r w:rsidRPr="00CA4450">
        <w:rPr>
          <w:color w:val="000000" w:themeColor="text1"/>
        </w:rPr>
        <w:t xml:space="preserve"> policies, December 2010 point 41 </w:t>
      </w:r>
      <w:hyperlink r:id="rId16" w:history="1">
        <w:r w:rsidRPr="00CA4450">
          <w:rPr>
            <w:rStyle w:val="Hyperlink"/>
          </w:rPr>
          <w:t>https://www.consilium.europa.eu/uedocs/cms_data/docs/pressdata/en/lsa/118225.pdf</w:t>
        </w:r>
      </w:hyperlink>
      <w:r w:rsidRPr="00CA4450">
        <w:rPr>
          <w:color w:val="000000" w:themeColor="text1"/>
        </w:rPr>
        <w:t xml:space="preserve"> </w:t>
      </w:r>
    </w:p>
    <w:p w14:paraId="7434B920" w14:textId="77777777" w:rsidR="008F1151" w:rsidRPr="00CA4450" w:rsidRDefault="008F1151" w:rsidP="008F1151">
      <w:pPr>
        <w:jc w:val="both"/>
        <w:rPr>
          <w:color w:val="000000" w:themeColor="text1"/>
        </w:rPr>
      </w:pPr>
    </w:p>
    <w:p w14:paraId="25AEF417" w14:textId="77777777" w:rsidR="009F1016" w:rsidRPr="00CA4450" w:rsidRDefault="009F1016" w:rsidP="008F1151">
      <w:pPr>
        <w:jc w:val="both"/>
        <w:rPr>
          <w:color w:val="000000" w:themeColor="text1"/>
        </w:rPr>
      </w:pPr>
      <w:r w:rsidRPr="00CA4450">
        <w:rPr>
          <w:bCs/>
          <w:color w:val="000000" w:themeColor="text1"/>
          <w:sz w:val="23"/>
          <w:szCs w:val="23"/>
        </w:rPr>
        <w:t xml:space="preserve">EU Strategic Framework on Health and Safety at Work 2014-2020 </w:t>
      </w:r>
      <w:proofErr w:type="gramStart"/>
      <w:r w:rsidRPr="00CA4450">
        <w:rPr>
          <w:bCs/>
          <w:color w:val="000000" w:themeColor="text1"/>
          <w:sz w:val="23"/>
          <w:szCs w:val="23"/>
        </w:rPr>
        <w:t>COM(</w:t>
      </w:r>
      <w:proofErr w:type="gramEnd"/>
      <w:r w:rsidRPr="00CA4450">
        <w:rPr>
          <w:bCs/>
          <w:color w:val="000000" w:themeColor="text1"/>
          <w:sz w:val="23"/>
          <w:szCs w:val="23"/>
        </w:rPr>
        <w:t xml:space="preserve">2014)332 of 6.6.2014 </w:t>
      </w:r>
      <w:hyperlink r:id="rId17" w:history="1">
        <w:r w:rsidRPr="00CA4450">
          <w:rPr>
            <w:rStyle w:val="Hyperlink"/>
          </w:rPr>
          <w:t>http://ec.europa.eu/social/main.jsp?catId=151</w:t>
        </w:r>
      </w:hyperlink>
      <w:r w:rsidR="00CA4450">
        <w:rPr>
          <w:color w:val="000000" w:themeColor="text1"/>
        </w:rPr>
        <w:t xml:space="preserve"> </w:t>
      </w:r>
    </w:p>
    <w:p w14:paraId="43D6ECBF" w14:textId="77777777" w:rsidR="009F1016" w:rsidRPr="00CA4450" w:rsidRDefault="009F1016" w:rsidP="008F1151">
      <w:pPr>
        <w:jc w:val="both"/>
        <w:rPr>
          <w:color w:val="000000" w:themeColor="text1"/>
        </w:rPr>
      </w:pPr>
    </w:p>
    <w:p w14:paraId="274545C9" w14:textId="77777777" w:rsidR="008F1151" w:rsidRDefault="008F1151" w:rsidP="008F1151">
      <w:pPr>
        <w:jc w:val="both"/>
        <w:rPr>
          <w:color w:val="000000" w:themeColor="text1"/>
        </w:rPr>
      </w:pPr>
      <w:r w:rsidRPr="00CA4450">
        <w:rPr>
          <w:color w:val="000000" w:themeColor="text1"/>
        </w:rPr>
        <w:t>Resolution of the European Parliament on Effective labour inspections as a strategy to improve working conditions</w:t>
      </w:r>
      <w:r w:rsidRPr="00CA4450">
        <w:rPr>
          <w:rStyle w:val="FootnoteReference"/>
          <w:color w:val="000000" w:themeColor="text1"/>
        </w:rPr>
        <w:t>.</w:t>
      </w:r>
      <w:r w:rsidR="008812BC" w:rsidRPr="00CA4450">
        <w:rPr>
          <w:color w:val="000000" w:themeColor="text1"/>
        </w:rPr>
        <w:t xml:space="preserve">, adopted on 14 February </w:t>
      </w:r>
      <w:proofErr w:type="gramStart"/>
      <w:r w:rsidR="008812BC" w:rsidRPr="00CA4450">
        <w:rPr>
          <w:color w:val="000000" w:themeColor="text1"/>
        </w:rPr>
        <w:t xml:space="preserve">2014 </w:t>
      </w:r>
      <w:r w:rsidRPr="00CA4450">
        <w:rPr>
          <w:color w:val="000000" w:themeColor="text1"/>
        </w:rPr>
        <w:t xml:space="preserve"> </w:t>
      </w:r>
      <w:proofErr w:type="gramEnd"/>
      <w:hyperlink r:id="rId18" w:history="1">
        <w:r w:rsidR="00CA4450" w:rsidRPr="0015003B">
          <w:rPr>
            <w:rStyle w:val="Hyperlink"/>
          </w:rPr>
          <w:t>http://www.europarl.europa.eu/sides/getDoc.do?pubRef=-//EP//TEXT+TA+P7-TA-2014-0012+0+DOC+XML+V0//EN</w:t>
        </w:r>
      </w:hyperlink>
      <w:r w:rsidR="00CA4450">
        <w:rPr>
          <w:color w:val="000000" w:themeColor="text1"/>
        </w:rPr>
        <w:t xml:space="preserve"> </w:t>
      </w:r>
    </w:p>
    <w:p w14:paraId="2793072A" w14:textId="77777777" w:rsidR="006C6575" w:rsidRDefault="006C6575" w:rsidP="008F1151">
      <w:pPr>
        <w:jc w:val="both"/>
        <w:rPr>
          <w:color w:val="000000" w:themeColor="text1"/>
        </w:rPr>
      </w:pPr>
    </w:p>
    <w:p w14:paraId="4E869340" w14:textId="77777777" w:rsidR="006C6575" w:rsidRPr="00CA4450" w:rsidRDefault="006C6575" w:rsidP="008F1151">
      <w:pPr>
        <w:jc w:val="both"/>
        <w:rPr>
          <w:color w:val="000000" w:themeColor="text1"/>
        </w:rPr>
      </w:pPr>
      <w:r w:rsidRPr="006C6575">
        <w:rPr>
          <w:color w:val="000000" w:themeColor="text1"/>
        </w:rPr>
        <w:t>Proposal for a</w:t>
      </w:r>
      <w:r>
        <w:rPr>
          <w:color w:val="000000" w:themeColor="text1"/>
        </w:rPr>
        <w:t xml:space="preserve"> Decision of the European Parliament and of the Council </w:t>
      </w:r>
      <w:r w:rsidRPr="006C6575">
        <w:rPr>
          <w:color w:val="000000" w:themeColor="text1"/>
        </w:rPr>
        <w:t>on establishing a European Platform to enhance cooperation in the prevention and deterrence of undeclared work</w:t>
      </w:r>
      <w:r w:rsidR="00CA20D9">
        <w:rPr>
          <w:color w:val="000000" w:themeColor="text1"/>
        </w:rPr>
        <w:t xml:space="preserve"> </w:t>
      </w:r>
      <w:r w:rsidRPr="006C6575">
        <w:rPr>
          <w:color w:val="000000" w:themeColor="text1"/>
        </w:rPr>
        <w:t>http://eur-lex.europa.eu/legal-content/EN/TXT/?qid=1445587325507&amp;uri=CELEX:52014PC0221</w:t>
      </w:r>
    </w:p>
    <w:sectPr w:rsidR="006C6575" w:rsidRPr="00CA4450" w:rsidSect="00C94E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1418" w:right="212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09826" w14:textId="77777777" w:rsidR="00995E14" w:rsidRDefault="00995E14">
      <w:r>
        <w:separator/>
      </w:r>
    </w:p>
  </w:endnote>
  <w:endnote w:type="continuationSeparator" w:id="0">
    <w:p w14:paraId="5A4F3D5E" w14:textId="77777777" w:rsidR="00995E14" w:rsidRDefault="009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91D9" w14:textId="77777777" w:rsidR="0087538D" w:rsidRDefault="002A2C1F" w:rsidP="00C20D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53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A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EAF1F9" w14:textId="77777777" w:rsidR="0087538D" w:rsidRDefault="00875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AD26C" w14:textId="42896368" w:rsidR="0087538D" w:rsidRDefault="002A2C1F" w:rsidP="00C20D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53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A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76069" w14:textId="77777777" w:rsidR="0087538D" w:rsidRDefault="008753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1860A" w14:textId="77777777" w:rsidR="00353DB2" w:rsidRDefault="00353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517A" w14:textId="77777777" w:rsidR="00995E14" w:rsidRDefault="00995E14">
      <w:r>
        <w:separator/>
      </w:r>
    </w:p>
  </w:footnote>
  <w:footnote w:type="continuationSeparator" w:id="0">
    <w:p w14:paraId="006A018E" w14:textId="77777777" w:rsidR="00995E14" w:rsidRDefault="00995E14">
      <w:r>
        <w:continuationSeparator/>
      </w:r>
    </w:p>
  </w:footnote>
  <w:footnote w:id="1">
    <w:p w14:paraId="545221B9" w14:textId="77777777" w:rsidR="00BB4007" w:rsidRPr="00BD4892" w:rsidRDefault="00BB4007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BD4892">
        <w:rPr>
          <w:lang w:val="sv-SE"/>
        </w:rPr>
        <w:t xml:space="preserve"> Report 5</w:t>
      </w:r>
    </w:p>
  </w:footnote>
  <w:footnote w:id="2">
    <w:p w14:paraId="6DE49211" w14:textId="77777777" w:rsidR="005317A9" w:rsidRPr="00BD4892" w:rsidRDefault="005317A9" w:rsidP="005317A9">
      <w:pPr>
        <w:pStyle w:val="FootnoteText"/>
        <w:rPr>
          <w:color w:val="000000" w:themeColor="text1"/>
          <w:lang w:val="sv-SE"/>
        </w:rPr>
      </w:pPr>
      <w:r>
        <w:rPr>
          <w:rStyle w:val="FootnoteReference"/>
        </w:rPr>
        <w:footnoteRef/>
      </w:r>
      <w:r w:rsidRPr="00BD4892">
        <w:rPr>
          <w:lang w:val="sv-SE"/>
        </w:rPr>
        <w:t xml:space="preserve"> EP </w:t>
      </w:r>
      <w:r w:rsidRPr="00BD4892">
        <w:rPr>
          <w:color w:val="000000" w:themeColor="text1"/>
          <w:lang w:val="sv-SE"/>
        </w:rPr>
        <w:t>Resolution I, CC OSH (11)</w:t>
      </w:r>
    </w:p>
  </w:footnote>
  <w:footnote w:id="3">
    <w:p w14:paraId="74C48A89" w14:textId="77777777" w:rsidR="00BD4892" w:rsidRPr="00BD4892" w:rsidRDefault="00BD489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BD4892">
        <w:rPr>
          <w:lang w:val="sv-SE"/>
        </w:rPr>
        <w:t xml:space="preserve"> EU statement </w:t>
      </w:r>
      <w:r>
        <w:rPr>
          <w:lang w:val="sv-SE"/>
        </w:rPr>
        <w:t>GB325</w:t>
      </w:r>
    </w:p>
  </w:footnote>
  <w:footnote w:id="4">
    <w:p w14:paraId="3303AD6B" w14:textId="77777777" w:rsidR="00833E52" w:rsidRPr="007A789F" w:rsidRDefault="00833E52">
      <w:pPr>
        <w:pStyle w:val="FootnoteText"/>
      </w:pPr>
      <w:r>
        <w:rPr>
          <w:rStyle w:val="FootnoteReference"/>
        </w:rPr>
        <w:footnoteRef/>
      </w:r>
      <w:r w:rsidRPr="007A789F">
        <w:t xml:space="preserve"> Report 7</w:t>
      </w:r>
      <w:r w:rsidR="00BD4892" w:rsidRPr="007A789F">
        <w:t>, EU statement GB325</w:t>
      </w:r>
    </w:p>
  </w:footnote>
  <w:footnote w:id="5">
    <w:p w14:paraId="2F20C142" w14:textId="77777777" w:rsidR="000402ED" w:rsidRPr="00F44F76" w:rsidRDefault="000402E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44F76">
        <w:rPr>
          <w:lang w:val="en-GB"/>
        </w:rPr>
        <w:t xml:space="preserve"> Report 7</w:t>
      </w:r>
    </w:p>
  </w:footnote>
  <w:footnote w:id="6">
    <w:p w14:paraId="16A2BD39" w14:textId="77777777" w:rsidR="005F56BA" w:rsidRPr="005F56BA" w:rsidRDefault="005F56BA" w:rsidP="005F56B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5F56BA">
        <w:rPr>
          <w:lang w:val="en-GB"/>
        </w:rPr>
        <w:t xml:space="preserve"> EU statement GB325</w:t>
      </w:r>
    </w:p>
  </w:footnote>
  <w:footnote w:id="7">
    <w:p w14:paraId="7C41E8AE" w14:textId="77777777" w:rsidR="005F56BA" w:rsidRPr="005F56BA" w:rsidRDefault="005F56B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5F56BA">
        <w:rPr>
          <w:lang w:val="en-GB"/>
        </w:rPr>
        <w:t xml:space="preserve"> State of the Union Address 2017 of Commission President Juncker</w:t>
      </w:r>
    </w:p>
  </w:footnote>
  <w:footnote w:id="8">
    <w:p w14:paraId="0788452A" w14:textId="77777777" w:rsidR="003871CD" w:rsidRPr="00F44F76" w:rsidRDefault="003871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44F76">
        <w:rPr>
          <w:lang w:val="en-GB"/>
        </w:rPr>
        <w:t xml:space="preserve"> Report 25 and 37-40</w:t>
      </w:r>
    </w:p>
  </w:footnote>
  <w:footnote w:id="9">
    <w:p w14:paraId="11D209BE" w14:textId="77777777" w:rsidR="006A3B04" w:rsidRPr="006A3B04" w:rsidRDefault="006A3B04" w:rsidP="006A3B04">
      <w:r w:rsidRPr="006A3B04">
        <w:rPr>
          <w:rStyle w:val="FootnoteReference"/>
          <w:sz w:val="20"/>
          <w:szCs w:val="20"/>
          <w:lang w:val="fr-FR" w:eastAsia="ar-SA"/>
        </w:rPr>
        <w:footnoteRef/>
      </w:r>
      <w:r w:rsidRPr="00601873">
        <w:rPr>
          <w:rStyle w:val="FootnoteReference"/>
          <w:sz w:val="20"/>
          <w:szCs w:val="20"/>
          <w:lang w:eastAsia="ar-SA"/>
        </w:rPr>
        <w:t xml:space="preserve"> </w:t>
      </w:r>
      <w:hyperlink r:id="rId1" w:history="1">
        <w:r w:rsidRPr="006A3B04">
          <w:rPr>
            <w:rStyle w:val="Hyperlink"/>
            <w:sz w:val="20"/>
            <w:szCs w:val="20"/>
            <w:lang w:eastAsia="ar-SA"/>
          </w:rPr>
          <w:t>http://www.ilo.org/safework/projects/WCMS_522931/lang--</w:t>
        </w:r>
        <w:proofErr w:type="spellStart"/>
        <w:r w:rsidRPr="006A3B04">
          <w:rPr>
            <w:rStyle w:val="Hyperlink"/>
            <w:sz w:val="20"/>
            <w:szCs w:val="20"/>
            <w:lang w:eastAsia="ar-SA"/>
          </w:rPr>
          <w:t>en</w:t>
        </w:r>
        <w:proofErr w:type="spellEnd"/>
        <w:r w:rsidRPr="006A3B04">
          <w:rPr>
            <w:rStyle w:val="Hyperlink"/>
            <w:sz w:val="20"/>
            <w:szCs w:val="20"/>
            <w:lang w:eastAsia="ar-SA"/>
          </w:rPr>
          <w:t>/index.htm</w:t>
        </w:r>
      </w:hyperlink>
    </w:p>
  </w:footnote>
  <w:footnote w:id="10">
    <w:p w14:paraId="41CC7B51" w14:textId="77777777" w:rsidR="00486D64" w:rsidRPr="00486D64" w:rsidRDefault="00486D6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86D64">
        <w:rPr>
          <w:lang w:val="en-GB"/>
        </w:rPr>
        <w:t xml:space="preserve"> </w:t>
      </w:r>
      <w:r>
        <w:rPr>
          <w:lang w:val="en-GB"/>
        </w:rPr>
        <w:t>Report 12-16</w:t>
      </w:r>
    </w:p>
  </w:footnote>
  <w:footnote w:id="11">
    <w:p w14:paraId="5CA39C3B" w14:textId="77777777" w:rsidR="00F44F76" w:rsidRPr="00F44F76" w:rsidRDefault="00F44F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44F76">
        <w:rPr>
          <w:lang w:val="en-GB"/>
        </w:rPr>
        <w:t xml:space="preserve"> </w:t>
      </w:r>
      <w:hyperlink r:id="rId2" w:history="1">
        <w:r w:rsidRPr="00934841">
          <w:rPr>
            <w:rStyle w:val="Hyperlink"/>
            <w:lang w:val="en-GB"/>
          </w:rPr>
          <w:t>http://www.ilo.org/budapest/what-we-do/projects/WCMS_456936/lang--en/index.htm</w:t>
        </w:r>
      </w:hyperlink>
      <w:r>
        <w:rPr>
          <w:lang w:val="en-GB"/>
        </w:rPr>
        <w:t xml:space="preserve"> </w:t>
      </w:r>
    </w:p>
  </w:footnote>
  <w:footnote w:id="12">
    <w:p w14:paraId="0BAD5A0E" w14:textId="77777777" w:rsidR="00486D64" w:rsidRPr="00486D64" w:rsidRDefault="00486D6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86D64">
        <w:rPr>
          <w:lang w:val="en-GB"/>
        </w:rPr>
        <w:t xml:space="preserve"> </w:t>
      </w:r>
      <w:r w:rsidRPr="00486D64">
        <w:rPr>
          <w:i/>
          <w:lang w:val="en-GB" w:eastAsia="en-US"/>
        </w:rPr>
        <w:t>labour inspection and undeclared work in the EU"</w:t>
      </w:r>
      <w:r w:rsidR="00865350" w:rsidRPr="00865350">
        <w:rPr>
          <w:lang w:val="en-GB"/>
        </w:rPr>
        <w:t xml:space="preserve"> </w:t>
      </w:r>
      <w:hyperlink r:id="rId3" w:history="1">
        <w:r w:rsidR="00865350" w:rsidRPr="00934841">
          <w:rPr>
            <w:rStyle w:val="Hyperlink"/>
            <w:lang w:val="en-GB"/>
          </w:rPr>
          <w:t>http://www.ilo.org/labadmin/info/pubs/WCMS_220021/lang--</w:t>
        </w:r>
        <w:proofErr w:type="spellStart"/>
        <w:r w:rsidR="00865350" w:rsidRPr="00934841">
          <w:rPr>
            <w:rStyle w:val="Hyperlink"/>
            <w:lang w:val="en-GB"/>
          </w:rPr>
          <w:t>en</w:t>
        </w:r>
        <w:proofErr w:type="spellEnd"/>
        <w:r w:rsidR="00865350" w:rsidRPr="00934841">
          <w:rPr>
            <w:rStyle w:val="Hyperlink"/>
            <w:lang w:val="en-GB"/>
          </w:rPr>
          <w:t>/index.htm</w:t>
        </w:r>
      </w:hyperlink>
      <w:r w:rsidR="00865350">
        <w:rPr>
          <w:lang w:val="en-GB"/>
        </w:rPr>
        <w:t xml:space="preserve"> </w:t>
      </w:r>
    </w:p>
  </w:footnote>
  <w:footnote w:id="13">
    <w:p w14:paraId="14647DAA" w14:textId="77777777" w:rsidR="00F44F76" w:rsidRPr="00601873" w:rsidRDefault="00F44F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601873">
        <w:rPr>
          <w:lang w:val="en-GB"/>
        </w:rPr>
        <w:t xml:space="preserve"> Report 23</w:t>
      </w:r>
    </w:p>
  </w:footnote>
  <w:footnote w:id="14">
    <w:p w14:paraId="6E35AD89" w14:textId="77777777" w:rsidR="007E6AD4" w:rsidRPr="00601873" w:rsidRDefault="007E6AD4" w:rsidP="007E6AD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601873">
        <w:rPr>
          <w:lang w:val="en-GB"/>
        </w:rPr>
        <w:t xml:space="preserve"> https://osha.europa.eu/en/tools-and-publications</w:t>
      </w:r>
    </w:p>
  </w:footnote>
  <w:footnote w:id="15">
    <w:p w14:paraId="1C4F4540" w14:textId="77777777" w:rsidR="00DC5BC1" w:rsidRPr="00601873" w:rsidRDefault="00DC5BC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601873">
        <w:rPr>
          <w:lang w:val="en-GB"/>
        </w:rPr>
        <w:t xml:space="preserve"> </w:t>
      </w:r>
      <w:hyperlink r:id="rId4" w:history="1">
        <w:r w:rsidRPr="00601873">
          <w:rPr>
            <w:rStyle w:val="Hyperlink"/>
            <w:lang w:val="en-GB"/>
          </w:rPr>
          <w:t>http://www.ilo.org/global/about-the-ilo/newsroom/news/WCMS_573118/lang--en/index.htm</w:t>
        </w:r>
      </w:hyperlink>
      <w:r w:rsidRPr="00601873">
        <w:rPr>
          <w:lang w:val="en-GB"/>
        </w:rPr>
        <w:t xml:space="preserve"> </w:t>
      </w:r>
    </w:p>
  </w:footnote>
  <w:footnote w:id="16">
    <w:p w14:paraId="2820720E" w14:textId="77777777" w:rsidR="00BA071C" w:rsidRPr="00C43667" w:rsidRDefault="00BA071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43667">
        <w:rPr>
          <w:lang w:val="en-GB"/>
        </w:rPr>
        <w:t xml:space="preserve"> Report para 48</w:t>
      </w:r>
    </w:p>
  </w:footnote>
  <w:footnote w:id="17">
    <w:p w14:paraId="7FC459B3" w14:textId="77777777" w:rsidR="00C43667" w:rsidRPr="00C43667" w:rsidRDefault="00C43667" w:rsidP="00C4366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43667">
        <w:rPr>
          <w:lang w:val="en-GB"/>
        </w:rPr>
        <w:t xml:space="preserve"> </w:t>
      </w:r>
      <w:hyperlink r:id="rId5" w:history="1">
        <w:r w:rsidRPr="00934841">
          <w:rPr>
            <w:rStyle w:val="Hyperlink"/>
            <w:lang w:val="en-GB"/>
          </w:rPr>
          <w:t>http://trade.ec.europa.eu/doclib/press/index.cfm?id=935</w:t>
        </w:r>
      </w:hyperlink>
      <w:r>
        <w:rPr>
          <w:lang w:val="en-GB"/>
        </w:rPr>
        <w:t xml:space="preserve"> </w:t>
      </w:r>
    </w:p>
  </w:footnote>
  <w:footnote w:id="18">
    <w:p w14:paraId="2AB22755" w14:textId="77777777" w:rsidR="00C43667" w:rsidRPr="00C43667" w:rsidRDefault="00C4366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43667">
        <w:rPr>
          <w:lang w:val="en-GB"/>
        </w:rPr>
        <w:t xml:space="preserve"> Adapted from EU statement GB325</w:t>
      </w:r>
    </w:p>
  </w:footnote>
  <w:footnote w:id="19">
    <w:p w14:paraId="0F9BB2BC" w14:textId="77777777" w:rsidR="00C43667" w:rsidRPr="00C43667" w:rsidRDefault="00C4366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43667">
        <w:rPr>
          <w:lang w:val="en-GB"/>
        </w:rPr>
        <w:t xml:space="preserve"> </w:t>
      </w:r>
      <w:hyperlink r:id="rId6" w:history="1">
        <w:r w:rsidRPr="00934841">
          <w:rPr>
            <w:rStyle w:val="Hyperlink"/>
            <w:lang w:val="en-GB"/>
          </w:rPr>
          <w:t>http://www.ilo.org/asia/projects/WCMS_484124/lang--</w:t>
        </w:r>
        <w:proofErr w:type="spellStart"/>
        <w:r w:rsidRPr="00934841">
          <w:rPr>
            <w:rStyle w:val="Hyperlink"/>
            <w:lang w:val="en-GB"/>
          </w:rPr>
          <w:t>en</w:t>
        </w:r>
        <w:proofErr w:type="spellEnd"/>
        <w:r w:rsidRPr="00934841">
          <w:rPr>
            <w:rStyle w:val="Hyperlink"/>
            <w:lang w:val="en-GB"/>
          </w:rPr>
          <w:t>/index.htm</w:t>
        </w:r>
      </w:hyperlink>
      <w:r>
        <w:rPr>
          <w:lang w:val="en-GB"/>
        </w:rPr>
        <w:t xml:space="preserve"> </w:t>
      </w:r>
    </w:p>
  </w:footnote>
  <w:footnote w:id="20">
    <w:p w14:paraId="63249B61" w14:textId="77777777" w:rsidR="00865350" w:rsidRPr="00C47D9B" w:rsidRDefault="00865350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C47D9B">
        <w:rPr>
          <w:lang w:val="sv-SE"/>
        </w:rPr>
        <w:t xml:space="preserve"> Report 49</w:t>
      </w:r>
    </w:p>
  </w:footnote>
  <w:footnote w:id="21">
    <w:p w14:paraId="0E69C437" w14:textId="77777777" w:rsidR="00865350" w:rsidRPr="008C18F2" w:rsidRDefault="00865350" w:rsidP="00865350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8C18F2">
        <w:rPr>
          <w:lang w:val="sv-SE"/>
        </w:rPr>
        <w:t xml:space="preserve"> CC OSH (11), EU strategic framework 4.3</w:t>
      </w:r>
    </w:p>
  </w:footnote>
  <w:footnote w:id="22">
    <w:p w14:paraId="0A991BA5" w14:textId="77777777" w:rsidR="00601873" w:rsidRPr="004D6AC1" w:rsidRDefault="0060187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D6AC1">
        <w:rPr>
          <w:lang w:val="en-GB"/>
        </w:rPr>
        <w:t xml:space="preserve"> </w:t>
      </w:r>
      <w:proofErr w:type="gramStart"/>
      <w:r w:rsidRPr="004D6AC1">
        <w:rPr>
          <w:lang w:val="en-GB"/>
        </w:rPr>
        <w:t>COM(</w:t>
      </w:r>
      <w:proofErr w:type="gramEnd"/>
      <w:r w:rsidRPr="004D6AC1">
        <w:rPr>
          <w:lang w:val="en-GB"/>
        </w:rPr>
        <w:t>2017) 12 final.</w:t>
      </w:r>
    </w:p>
  </w:footnote>
  <w:footnote w:id="23">
    <w:p w14:paraId="2EC63C1E" w14:textId="77777777" w:rsidR="00C47D9B" w:rsidRPr="00C47D9B" w:rsidRDefault="00C47D9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47D9B">
        <w:rPr>
          <w:lang w:val="en-GB"/>
        </w:rPr>
        <w:t xml:space="preserve"> Adapted from </w:t>
      </w:r>
      <w:r w:rsidRPr="00C43667">
        <w:rPr>
          <w:lang w:val="en-GB"/>
        </w:rPr>
        <w:t>EU statement GB325</w:t>
      </w:r>
    </w:p>
  </w:footnote>
  <w:footnote w:id="24">
    <w:p w14:paraId="05FD2710" w14:textId="77777777" w:rsidR="00865350" w:rsidRPr="00F44F76" w:rsidRDefault="00865350" w:rsidP="0086535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44F76">
        <w:rPr>
          <w:lang w:val="en-GB"/>
        </w:rPr>
        <w:t xml:space="preserve"> </w:t>
      </w:r>
      <w:r>
        <w:rPr>
          <w:lang w:val="en-GB"/>
        </w:rPr>
        <w:t xml:space="preserve">Adapted from </w:t>
      </w:r>
      <w:r w:rsidRPr="00F44F76">
        <w:rPr>
          <w:lang w:val="en-GB"/>
        </w:rPr>
        <w:t>EU statement GB325</w:t>
      </w:r>
    </w:p>
  </w:footnote>
  <w:footnote w:id="25">
    <w:p w14:paraId="5BD05452" w14:textId="77777777" w:rsidR="00BA071C" w:rsidRPr="00BA071C" w:rsidRDefault="00BA071C" w:rsidP="00BA071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BA071C">
        <w:rPr>
          <w:lang w:val="en-GB"/>
        </w:rPr>
        <w:t xml:space="preserve"> Adapted from EU statement GB325</w:t>
      </w:r>
    </w:p>
  </w:footnote>
  <w:footnote w:id="26">
    <w:p w14:paraId="623FC0E1" w14:textId="77777777" w:rsidR="000402ED" w:rsidRPr="000402ED" w:rsidRDefault="000402E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0402ED">
        <w:rPr>
          <w:lang w:val="en-GB"/>
        </w:rPr>
        <w:t xml:space="preserve"> </w:t>
      </w:r>
      <w:r>
        <w:rPr>
          <w:lang w:val="en-GB"/>
        </w:rPr>
        <w:t>Report para 47 indicated that assistance on compliance needs to be integrated into DWCP</w:t>
      </w:r>
    </w:p>
  </w:footnote>
  <w:footnote w:id="27">
    <w:p w14:paraId="42D75194" w14:textId="77777777" w:rsidR="00486D64" w:rsidRPr="00486D64" w:rsidRDefault="00486D64" w:rsidP="00486D6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86D64">
        <w:rPr>
          <w:lang w:val="en-GB"/>
        </w:rPr>
        <w:t xml:space="preserve"> </w:t>
      </w:r>
      <w:hyperlink r:id="rId7" w:history="1">
        <w:r w:rsidRPr="00486D64">
          <w:rPr>
            <w:rStyle w:val="Hyperlink"/>
            <w:lang w:val="en-GB"/>
          </w:rPr>
          <w:t>http://www.ilo.org/safework/projects/WCMS_149466/lang--</w:t>
        </w:r>
        <w:proofErr w:type="spellStart"/>
        <w:r w:rsidRPr="00486D64">
          <w:rPr>
            <w:rStyle w:val="Hyperlink"/>
            <w:lang w:val="en-GB"/>
          </w:rPr>
          <w:t>en</w:t>
        </w:r>
        <w:proofErr w:type="spellEnd"/>
        <w:r w:rsidRPr="00486D64">
          <w:rPr>
            <w:rStyle w:val="Hyperlink"/>
            <w:lang w:val="en-GB"/>
          </w:rPr>
          <w:t>/index.htm</w:t>
        </w:r>
      </w:hyperlink>
    </w:p>
  </w:footnote>
  <w:footnote w:id="28">
    <w:p w14:paraId="59616C70" w14:textId="77777777" w:rsidR="00DD1CBF" w:rsidRPr="00BA071C" w:rsidRDefault="00DD1CB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BA071C">
        <w:rPr>
          <w:lang w:val="en-GB"/>
        </w:rPr>
        <w:t xml:space="preserve"> Report para 45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DA38" w14:textId="77777777" w:rsidR="00353DB2" w:rsidRDefault="00353D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902DC" w14:textId="77777777" w:rsidR="00353DB2" w:rsidRDefault="00353D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C6E54" w14:textId="77777777" w:rsidR="00353DB2" w:rsidRDefault="00353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5846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4F7"/>
    <w:multiLevelType w:val="hybridMultilevel"/>
    <w:tmpl w:val="08CAAA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428C0"/>
    <w:multiLevelType w:val="hybridMultilevel"/>
    <w:tmpl w:val="C242083C"/>
    <w:lvl w:ilvl="0" w:tplc="3612C4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72FDD"/>
    <w:multiLevelType w:val="hybridMultilevel"/>
    <w:tmpl w:val="EDCE7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24AE4"/>
    <w:multiLevelType w:val="hybridMultilevel"/>
    <w:tmpl w:val="86D28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5D6C"/>
    <w:multiLevelType w:val="hybridMultilevel"/>
    <w:tmpl w:val="3670C5F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86200E"/>
    <w:multiLevelType w:val="hybridMultilevel"/>
    <w:tmpl w:val="F580C3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46CCF"/>
    <w:multiLevelType w:val="hybridMultilevel"/>
    <w:tmpl w:val="39FAA7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56652819"/>
    <w:multiLevelType w:val="hybridMultilevel"/>
    <w:tmpl w:val="FC7A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C50A3"/>
    <w:rsid w:val="00001422"/>
    <w:rsid w:val="000015D3"/>
    <w:rsid w:val="000029D1"/>
    <w:rsid w:val="000052E6"/>
    <w:rsid w:val="00011736"/>
    <w:rsid w:val="00011A06"/>
    <w:rsid w:val="0002070E"/>
    <w:rsid w:val="00022F2A"/>
    <w:rsid w:val="00024E22"/>
    <w:rsid w:val="000252CE"/>
    <w:rsid w:val="00025C2C"/>
    <w:rsid w:val="0003215E"/>
    <w:rsid w:val="00032FA0"/>
    <w:rsid w:val="00033011"/>
    <w:rsid w:val="000332C5"/>
    <w:rsid w:val="00034A57"/>
    <w:rsid w:val="00037DB0"/>
    <w:rsid w:val="000402ED"/>
    <w:rsid w:val="00043E78"/>
    <w:rsid w:val="0004421C"/>
    <w:rsid w:val="00046D8F"/>
    <w:rsid w:val="00047242"/>
    <w:rsid w:val="0005213C"/>
    <w:rsid w:val="000615DF"/>
    <w:rsid w:val="00063A0A"/>
    <w:rsid w:val="00063AB1"/>
    <w:rsid w:val="00064D4D"/>
    <w:rsid w:val="00066E7B"/>
    <w:rsid w:val="0007281C"/>
    <w:rsid w:val="000728A0"/>
    <w:rsid w:val="0007387D"/>
    <w:rsid w:val="00080E13"/>
    <w:rsid w:val="0008230F"/>
    <w:rsid w:val="000929EC"/>
    <w:rsid w:val="00095426"/>
    <w:rsid w:val="000A21BE"/>
    <w:rsid w:val="000B1BE9"/>
    <w:rsid w:val="000B30BC"/>
    <w:rsid w:val="000C069C"/>
    <w:rsid w:val="000C0920"/>
    <w:rsid w:val="000C0FF0"/>
    <w:rsid w:val="000C3E56"/>
    <w:rsid w:val="000C7767"/>
    <w:rsid w:val="000C77DE"/>
    <w:rsid w:val="000D3109"/>
    <w:rsid w:val="000D36BC"/>
    <w:rsid w:val="000F084A"/>
    <w:rsid w:val="000F72DB"/>
    <w:rsid w:val="00103F28"/>
    <w:rsid w:val="001052A6"/>
    <w:rsid w:val="001216AA"/>
    <w:rsid w:val="0012178D"/>
    <w:rsid w:val="0012610B"/>
    <w:rsid w:val="001319D5"/>
    <w:rsid w:val="00135EB5"/>
    <w:rsid w:val="001375E3"/>
    <w:rsid w:val="00143783"/>
    <w:rsid w:val="00150AF6"/>
    <w:rsid w:val="001546B0"/>
    <w:rsid w:val="00157856"/>
    <w:rsid w:val="00160B8A"/>
    <w:rsid w:val="00173E50"/>
    <w:rsid w:val="00194579"/>
    <w:rsid w:val="001947A8"/>
    <w:rsid w:val="00194C01"/>
    <w:rsid w:val="001C0728"/>
    <w:rsid w:val="001C5261"/>
    <w:rsid w:val="001D0FBB"/>
    <w:rsid w:val="001D5E31"/>
    <w:rsid w:val="001E33B7"/>
    <w:rsid w:val="001E4D19"/>
    <w:rsid w:val="00206236"/>
    <w:rsid w:val="00211039"/>
    <w:rsid w:val="002231DB"/>
    <w:rsid w:val="00230274"/>
    <w:rsid w:val="00234111"/>
    <w:rsid w:val="002348A1"/>
    <w:rsid w:val="00245E56"/>
    <w:rsid w:val="00255727"/>
    <w:rsid w:val="002575FB"/>
    <w:rsid w:val="00257C1C"/>
    <w:rsid w:val="002605AA"/>
    <w:rsid w:val="0026116F"/>
    <w:rsid w:val="0026145C"/>
    <w:rsid w:val="00265099"/>
    <w:rsid w:val="00276ADE"/>
    <w:rsid w:val="002871A6"/>
    <w:rsid w:val="00292A77"/>
    <w:rsid w:val="00297617"/>
    <w:rsid w:val="002A022D"/>
    <w:rsid w:val="002A2C1F"/>
    <w:rsid w:val="002B2E0F"/>
    <w:rsid w:val="002B3A62"/>
    <w:rsid w:val="002D25B8"/>
    <w:rsid w:val="002D3BD9"/>
    <w:rsid w:val="002D65EE"/>
    <w:rsid w:val="002F231E"/>
    <w:rsid w:val="002F4DE2"/>
    <w:rsid w:val="003010E5"/>
    <w:rsid w:val="00312A3A"/>
    <w:rsid w:val="003209BC"/>
    <w:rsid w:val="003278ED"/>
    <w:rsid w:val="00330705"/>
    <w:rsid w:val="00330E77"/>
    <w:rsid w:val="00335C3A"/>
    <w:rsid w:val="00340831"/>
    <w:rsid w:val="00341B8D"/>
    <w:rsid w:val="00345285"/>
    <w:rsid w:val="00350976"/>
    <w:rsid w:val="0035206A"/>
    <w:rsid w:val="003538CD"/>
    <w:rsid w:val="00353DB2"/>
    <w:rsid w:val="0035582B"/>
    <w:rsid w:val="0035606E"/>
    <w:rsid w:val="0035707E"/>
    <w:rsid w:val="00360A4E"/>
    <w:rsid w:val="003615F8"/>
    <w:rsid w:val="003650CE"/>
    <w:rsid w:val="0036682A"/>
    <w:rsid w:val="00373581"/>
    <w:rsid w:val="00383346"/>
    <w:rsid w:val="00385B6A"/>
    <w:rsid w:val="003871CD"/>
    <w:rsid w:val="003964D9"/>
    <w:rsid w:val="00396F9A"/>
    <w:rsid w:val="003A1B10"/>
    <w:rsid w:val="003A3755"/>
    <w:rsid w:val="003A4246"/>
    <w:rsid w:val="003B599C"/>
    <w:rsid w:val="003B7F90"/>
    <w:rsid w:val="003C1B56"/>
    <w:rsid w:val="003D0EF2"/>
    <w:rsid w:val="003D60F8"/>
    <w:rsid w:val="003E2635"/>
    <w:rsid w:val="003E59C2"/>
    <w:rsid w:val="003E7D24"/>
    <w:rsid w:val="003F3FE5"/>
    <w:rsid w:val="003F4AA3"/>
    <w:rsid w:val="00401DD9"/>
    <w:rsid w:val="004027F7"/>
    <w:rsid w:val="00404257"/>
    <w:rsid w:val="00405197"/>
    <w:rsid w:val="0040696E"/>
    <w:rsid w:val="00410125"/>
    <w:rsid w:val="00412384"/>
    <w:rsid w:val="004162E6"/>
    <w:rsid w:val="004240F2"/>
    <w:rsid w:val="00430014"/>
    <w:rsid w:val="00433EAD"/>
    <w:rsid w:val="0043584A"/>
    <w:rsid w:val="00436A08"/>
    <w:rsid w:val="004502C7"/>
    <w:rsid w:val="00453DE6"/>
    <w:rsid w:val="00455075"/>
    <w:rsid w:val="0045616A"/>
    <w:rsid w:val="00462078"/>
    <w:rsid w:val="0046771E"/>
    <w:rsid w:val="00470429"/>
    <w:rsid w:val="0047227A"/>
    <w:rsid w:val="00476A3F"/>
    <w:rsid w:val="00485ED8"/>
    <w:rsid w:val="00486D64"/>
    <w:rsid w:val="0049225F"/>
    <w:rsid w:val="0049685C"/>
    <w:rsid w:val="004C34A8"/>
    <w:rsid w:val="004C50C8"/>
    <w:rsid w:val="004D23A3"/>
    <w:rsid w:val="004D4AF2"/>
    <w:rsid w:val="004D6AC1"/>
    <w:rsid w:val="004E073B"/>
    <w:rsid w:val="004E2F1B"/>
    <w:rsid w:val="004E6CAE"/>
    <w:rsid w:val="004F24AC"/>
    <w:rsid w:val="004F29B9"/>
    <w:rsid w:val="004F4157"/>
    <w:rsid w:val="004F737F"/>
    <w:rsid w:val="00500109"/>
    <w:rsid w:val="005028AF"/>
    <w:rsid w:val="00503F24"/>
    <w:rsid w:val="00505D4D"/>
    <w:rsid w:val="00507BBE"/>
    <w:rsid w:val="005148B7"/>
    <w:rsid w:val="00514C7F"/>
    <w:rsid w:val="00515901"/>
    <w:rsid w:val="005211AE"/>
    <w:rsid w:val="00521500"/>
    <w:rsid w:val="005217FB"/>
    <w:rsid w:val="0052330E"/>
    <w:rsid w:val="00524B25"/>
    <w:rsid w:val="005317A9"/>
    <w:rsid w:val="005346E5"/>
    <w:rsid w:val="00542DD7"/>
    <w:rsid w:val="00543CD8"/>
    <w:rsid w:val="00544966"/>
    <w:rsid w:val="00552FFA"/>
    <w:rsid w:val="00554ADF"/>
    <w:rsid w:val="005674FB"/>
    <w:rsid w:val="00577CB7"/>
    <w:rsid w:val="00583633"/>
    <w:rsid w:val="0059254F"/>
    <w:rsid w:val="00593447"/>
    <w:rsid w:val="005954A5"/>
    <w:rsid w:val="005A0714"/>
    <w:rsid w:val="005B0705"/>
    <w:rsid w:val="005B3ADF"/>
    <w:rsid w:val="005B64A7"/>
    <w:rsid w:val="005C311C"/>
    <w:rsid w:val="005D2263"/>
    <w:rsid w:val="005D2A88"/>
    <w:rsid w:val="005D48E0"/>
    <w:rsid w:val="005E4FC8"/>
    <w:rsid w:val="005F00FE"/>
    <w:rsid w:val="005F43DC"/>
    <w:rsid w:val="005F52DE"/>
    <w:rsid w:val="005F56BA"/>
    <w:rsid w:val="00601873"/>
    <w:rsid w:val="00603AF7"/>
    <w:rsid w:val="006100D8"/>
    <w:rsid w:val="00614A65"/>
    <w:rsid w:val="0061681E"/>
    <w:rsid w:val="00617806"/>
    <w:rsid w:val="006337BE"/>
    <w:rsid w:val="00635EAC"/>
    <w:rsid w:val="00641510"/>
    <w:rsid w:val="006505D8"/>
    <w:rsid w:val="00653118"/>
    <w:rsid w:val="006549A0"/>
    <w:rsid w:val="0065588B"/>
    <w:rsid w:val="0065662E"/>
    <w:rsid w:val="00656963"/>
    <w:rsid w:val="0066622D"/>
    <w:rsid w:val="00671A66"/>
    <w:rsid w:val="0067426B"/>
    <w:rsid w:val="0068378C"/>
    <w:rsid w:val="0068643B"/>
    <w:rsid w:val="0069512C"/>
    <w:rsid w:val="006A2210"/>
    <w:rsid w:val="006A2307"/>
    <w:rsid w:val="006A3B04"/>
    <w:rsid w:val="006B0FF5"/>
    <w:rsid w:val="006B1889"/>
    <w:rsid w:val="006B6725"/>
    <w:rsid w:val="006B7AD8"/>
    <w:rsid w:val="006C0A28"/>
    <w:rsid w:val="006C6575"/>
    <w:rsid w:val="006D3B27"/>
    <w:rsid w:val="006E2876"/>
    <w:rsid w:val="006E316A"/>
    <w:rsid w:val="006F12A2"/>
    <w:rsid w:val="007027CC"/>
    <w:rsid w:val="00715FDB"/>
    <w:rsid w:val="0072685E"/>
    <w:rsid w:val="007272B8"/>
    <w:rsid w:val="00732DBF"/>
    <w:rsid w:val="00735235"/>
    <w:rsid w:val="00736B17"/>
    <w:rsid w:val="007448A4"/>
    <w:rsid w:val="00746D14"/>
    <w:rsid w:val="00747ED7"/>
    <w:rsid w:val="00754B2F"/>
    <w:rsid w:val="00755DBD"/>
    <w:rsid w:val="00763077"/>
    <w:rsid w:val="00764408"/>
    <w:rsid w:val="00780EF3"/>
    <w:rsid w:val="00783FCD"/>
    <w:rsid w:val="00787006"/>
    <w:rsid w:val="00787411"/>
    <w:rsid w:val="00791112"/>
    <w:rsid w:val="00791D13"/>
    <w:rsid w:val="00795571"/>
    <w:rsid w:val="007A0AE4"/>
    <w:rsid w:val="007A0ED8"/>
    <w:rsid w:val="007A789F"/>
    <w:rsid w:val="007B25ED"/>
    <w:rsid w:val="007B4E84"/>
    <w:rsid w:val="007B621E"/>
    <w:rsid w:val="007C4A98"/>
    <w:rsid w:val="007C50A3"/>
    <w:rsid w:val="007D1470"/>
    <w:rsid w:val="007D153B"/>
    <w:rsid w:val="007D2CDF"/>
    <w:rsid w:val="007D3A8D"/>
    <w:rsid w:val="007E1788"/>
    <w:rsid w:val="007E6AD4"/>
    <w:rsid w:val="007F1C78"/>
    <w:rsid w:val="007F2889"/>
    <w:rsid w:val="007F6559"/>
    <w:rsid w:val="007F73C9"/>
    <w:rsid w:val="00801142"/>
    <w:rsid w:val="008035E9"/>
    <w:rsid w:val="00804C59"/>
    <w:rsid w:val="00825FF7"/>
    <w:rsid w:val="00826B30"/>
    <w:rsid w:val="00833E52"/>
    <w:rsid w:val="00834484"/>
    <w:rsid w:val="00840EA0"/>
    <w:rsid w:val="008440E2"/>
    <w:rsid w:val="00844D9E"/>
    <w:rsid w:val="00847876"/>
    <w:rsid w:val="0085178C"/>
    <w:rsid w:val="00853E34"/>
    <w:rsid w:val="0085734A"/>
    <w:rsid w:val="00857B7B"/>
    <w:rsid w:val="0086202E"/>
    <w:rsid w:val="00865350"/>
    <w:rsid w:val="00867C07"/>
    <w:rsid w:val="00874C96"/>
    <w:rsid w:val="0087538D"/>
    <w:rsid w:val="0087748F"/>
    <w:rsid w:val="008804AA"/>
    <w:rsid w:val="008812BC"/>
    <w:rsid w:val="00884E03"/>
    <w:rsid w:val="00887DC8"/>
    <w:rsid w:val="008905D3"/>
    <w:rsid w:val="00895387"/>
    <w:rsid w:val="00897B68"/>
    <w:rsid w:val="008A2467"/>
    <w:rsid w:val="008B1D03"/>
    <w:rsid w:val="008B7405"/>
    <w:rsid w:val="008C18F2"/>
    <w:rsid w:val="008C31DA"/>
    <w:rsid w:val="008C3390"/>
    <w:rsid w:val="008C3A85"/>
    <w:rsid w:val="008C481C"/>
    <w:rsid w:val="008C6A95"/>
    <w:rsid w:val="008D38BF"/>
    <w:rsid w:val="008E0C2F"/>
    <w:rsid w:val="008E26E1"/>
    <w:rsid w:val="008F1151"/>
    <w:rsid w:val="00903977"/>
    <w:rsid w:val="00921C03"/>
    <w:rsid w:val="00933F06"/>
    <w:rsid w:val="0093743E"/>
    <w:rsid w:val="00951DF7"/>
    <w:rsid w:val="00952170"/>
    <w:rsid w:val="00957E11"/>
    <w:rsid w:val="009618B9"/>
    <w:rsid w:val="00963DA8"/>
    <w:rsid w:val="0096479D"/>
    <w:rsid w:val="009735FA"/>
    <w:rsid w:val="00974385"/>
    <w:rsid w:val="00977EF0"/>
    <w:rsid w:val="0098459A"/>
    <w:rsid w:val="009846F7"/>
    <w:rsid w:val="00984D26"/>
    <w:rsid w:val="00987C54"/>
    <w:rsid w:val="009931AA"/>
    <w:rsid w:val="00995E14"/>
    <w:rsid w:val="00996FF7"/>
    <w:rsid w:val="009A25A6"/>
    <w:rsid w:val="009A3FE8"/>
    <w:rsid w:val="009A64EC"/>
    <w:rsid w:val="009A6700"/>
    <w:rsid w:val="009A771C"/>
    <w:rsid w:val="009B1FBA"/>
    <w:rsid w:val="009C1A29"/>
    <w:rsid w:val="009C2E8F"/>
    <w:rsid w:val="009C5328"/>
    <w:rsid w:val="009C536B"/>
    <w:rsid w:val="009C681F"/>
    <w:rsid w:val="009D0DBA"/>
    <w:rsid w:val="009E2261"/>
    <w:rsid w:val="009F1016"/>
    <w:rsid w:val="009F715F"/>
    <w:rsid w:val="00A059C4"/>
    <w:rsid w:val="00A07409"/>
    <w:rsid w:val="00A12907"/>
    <w:rsid w:val="00A14FF5"/>
    <w:rsid w:val="00A159EC"/>
    <w:rsid w:val="00A208B0"/>
    <w:rsid w:val="00A24310"/>
    <w:rsid w:val="00A25F17"/>
    <w:rsid w:val="00A26F91"/>
    <w:rsid w:val="00A316C4"/>
    <w:rsid w:val="00A31B66"/>
    <w:rsid w:val="00A40619"/>
    <w:rsid w:val="00A442AF"/>
    <w:rsid w:val="00A468BB"/>
    <w:rsid w:val="00A47290"/>
    <w:rsid w:val="00A50EF3"/>
    <w:rsid w:val="00A53329"/>
    <w:rsid w:val="00A64505"/>
    <w:rsid w:val="00A67517"/>
    <w:rsid w:val="00A7243F"/>
    <w:rsid w:val="00A77A03"/>
    <w:rsid w:val="00A86820"/>
    <w:rsid w:val="00A86996"/>
    <w:rsid w:val="00A87C80"/>
    <w:rsid w:val="00A95836"/>
    <w:rsid w:val="00AA1227"/>
    <w:rsid w:val="00AA197B"/>
    <w:rsid w:val="00AA22EB"/>
    <w:rsid w:val="00AA3E4B"/>
    <w:rsid w:val="00AA5800"/>
    <w:rsid w:val="00AA7419"/>
    <w:rsid w:val="00AB5A60"/>
    <w:rsid w:val="00AB6694"/>
    <w:rsid w:val="00AB6A92"/>
    <w:rsid w:val="00AC3C9D"/>
    <w:rsid w:val="00AC642A"/>
    <w:rsid w:val="00AD350F"/>
    <w:rsid w:val="00AF12DE"/>
    <w:rsid w:val="00AF53D1"/>
    <w:rsid w:val="00AF5CF0"/>
    <w:rsid w:val="00B105E5"/>
    <w:rsid w:val="00B10737"/>
    <w:rsid w:val="00B109A1"/>
    <w:rsid w:val="00B13F8B"/>
    <w:rsid w:val="00B172E5"/>
    <w:rsid w:val="00B2104A"/>
    <w:rsid w:val="00B22087"/>
    <w:rsid w:val="00B23523"/>
    <w:rsid w:val="00B2575E"/>
    <w:rsid w:val="00B33140"/>
    <w:rsid w:val="00B40A21"/>
    <w:rsid w:val="00B47111"/>
    <w:rsid w:val="00B50A8E"/>
    <w:rsid w:val="00B54A3D"/>
    <w:rsid w:val="00B550F5"/>
    <w:rsid w:val="00B553EB"/>
    <w:rsid w:val="00B55414"/>
    <w:rsid w:val="00B57E0F"/>
    <w:rsid w:val="00B61D9B"/>
    <w:rsid w:val="00B62B9A"/>
    <w:rsid w:val="00B63CB9"/>
    <w:rsid w:val="00B64CD4"/>
    <w:rsid w:val="00B81C80"/>
    <w:rsid w:val="00B83AFC"/>
    <w:rsid w:val="00B959AA"/>
    <w:rsid w:val="00BA071C"/>
    <w:rsid w:val="00BB4007"/>
    <w:rsid w:val="00BC20CD"/>
    <w:rsid w:val="00BC34E9"/>
    <w:rsid w:val="00BC7ED2"/>
    <w:rsid w:val="00BD0E04"/>
    <w:rsid w:val="00BD0F59"/>
    <w:rsid w:val="00BD38A0"/>
    <w:rsid w:val="00BD4892"/>
    <w:rsid w:val="00BD6204"/>
    <w:rsid w:val="00BD749E"/>
    <w:rsid w:val="00BE2E37"/>
    <w:rsid w:val="00BE47FE"/>
    <w:rsid w:val="00BF2BC9"/>
    <w:rsid w:val="00BF46C2"/>
    <w:rsid w:val="00BF51C1"/>
    <w:rsid w:val="00C115AF"/>
    <w:rsid w:val="00C151BE"/>
    <w:rsid w:val="00C15DE8"/>
    <w:rsid w:val="00C17224"/>
    <w:rsid w:val="00C202D2"/>
    <w:rsid w:val="00C20D68"/>
    <w:rsid w:val="00C22FFB"/>
    <w:rsid w:val="00C31A51"/>
    <w:rsid w:val="00C33D47"/>
    <w:rsid w:val="00C43667"/>
    <w:rsid w:val="00C47D9B"/>
    <w:rsid w:val="00C53EA0"/>
    <w:rsid w:val="00C57A10"/>
    <w:rsid w:val="00C67D07"/>
    <w:rsid w:val="00C77327"/>
    <w:rsid w:val="00C81D3D"/>
    <w:rsid w:val="00C8214C"/>
    <w:rsid w:val="00C91FC8"/>
    <w:rsid w:val="00C94703"/>
    <w:rsid w:val="00C94EB4"/>
    <w:rsid w:val="00CA20D9"/>
    <w:rsid w:val="00CA25CA"/>
    <w:rsid w:val="00CA4450"/>
    <w:rsid w:val="00CB01FB"/>
    <w:rsid w:val="00CC0F2A"/>
    <w:rsid w:val="00CC1193"/>
    <w:rsid w:val="00CC73E1"/>
    <w:rsid w:val="00CE1EF3"/>
    <w:rsid w:val="00CF1CFB"/>
    <w:rsid w:val="00CF6BB7"/>
    <w:rsid w:val="00CF700F"/>
    <w:rsid w:val="00D01997"/>
    <w:rsid w:val="00D130EF"/>
    <w:rsid w:val="00D236FF"/>
    <w:rsid w:val="00D309DD"/>
    <w:rsid w:val="00D352A6"/>
    <w:rsid w:val="00D420C6"/>
    <w:rsid w:val="00D46202"/>
    <w:rsid w:val="00D47A78"/>
    <w:rsid w:val="00D556E5"/>
    <w:rsid w:val="00D55DB2"/>
    <w:rsid w:val="00D57FC7"/>
    <w:rsid w:val="00D63C16"/>
    <w:rsid w:val="00D72C5B"/>
    <w:rsid w:val="00D73028"/>
    <w:rsid w:val="00D740F8"/>
    <w:rsid w:val="00D749F9"/>
    <w:rsid w:val="00D75A4F"/>
    <w:rsid w:val="00D85B19"/>
    <w:rsid w:val="00D85CBD"/>
    <w:rsid w:val="00D905F8"/>
    <w:rsid w:val="00D9343A"/>
    <w:rsid w:val="00D94F58"/>
    <w:rsid w:val="00D95497"/>
    <w:rsid w:val="00DA6374"/>
    <w:rsid w:val="00DB1E79"/>
    <w:rsid w:val="00DC24CA"/>
    <w:rsid w:val="00DC4017"/>
    <w:rsid w:val="00DC5BC1"/>
    <w:rsid w:val="00DD045B"/>
    <w:rsid w:val="00DD1CBF"/>
    <w:rsid w:val="00DD5F6A"/>
    <w:rsid w:val="00DD719C"/>
    <w:rsid w:val="00DE0243"/>
    <w:rsid w:val="00DF1D15"/>
    <w:rsid w:val="00DF3467"/>
    <w:rsid w:val="00DF4348"/>
    <w:rsid w:val="00DF5EE1"/>
    <w:rsid w:val="00E02C36"/>
    <w:rsid w:val="00E02CA4"/>
    <w:rsid w:val="00E104D5"/>
    <w:rsid w:val="00E1113D"/>
    <w:rsid w:val="00E13684"/>
    <w:rsid w:val="00E15609"/>
    <w:rsid w:val="00E1595C"/>
    <w:rsid w:val="00E221AA"/>
    <w:rsid w:val="00E25A18"/>
    <w:rsid w:val="00E308B5"/>
    <w:rsid w:val="00E43616"/>
    <w:rsid w:val="00E4375F"/>
    <w:rsid w:val="00E43CA8"/>
    <w:rsid w:val="00E55E82"/>
    <w:rsid w:val="00E562FB"/>
    <w:rsid w:val="00E5727C"/>
    <w:rsid w:val="00E5792C"/>
    <w:rsid w:val="00E61E49"/>
    <w:rsid w:val="00E63A08"/>
    <w:rsid w:val="00E63BBF"/>
    <w:rsid w:val="00E66015"/>
    <w:rsid w:val="00E7112E"/>
    <w:rsid w:val="00E7334B"/>
    <w:rsid w:val="00E77A7A"/>
    <w:rsid w:val="00E81B6B"/>
    <w:rsid w:val="00E828C1"/>
    <w:rsid w:val="00E853E8"/>
    <w:rsid w:val="00E85D55"/>
    <w:rsid w:val="00EA7F84"/>
    <w:rsid w:val="00EB328D"/>
    <w:rsid w:val="00EB3BD8"/>
    <w:rsid w:val="00EC4A15"/>
    <w:rsid w:val="00EC7B65"/>
    <w:rsid w:val="00ED00AC"/>
    <w:rsid w:val="00ED2307"/>
    <w:rsid w:val="00ED5335"/>
    <w:rsid w:val="00ED6362"/>
    <w:rsid w:val="00EE1CDD"/>
    <w:rsid w:val="00EE6D78"/>
    <w:rsid w:val="00F020B9"/>
    <w:rsid w:val="00F02761"/>
    <w:rsid w:val="00F14450"/>
    <w:rsid w:val="00F145FE"/>
    <w:rsid w:val="00F202CC"/>
    <w:rsid w:val="00F20C02"/>
    <w:rsid w:val="00F2530C"/>
    <w:rsid w:val="00F36019"/>
    <w:rsid w:val="00F41FF8"/>
    <w:rsid w:val="00F44CD4"/>
    <w:rsid w:val="00F44F76"/>
    <w:rsid w:val="00F45E27"/>
    <w:rsid w:val="00F52F00"/>
    <w:rsid w:val="00F55620"/>
    <w:rsid w:val="00F658D8"/>
    <w:rsid w:val="00F70155"/>
    <w:rsid w:val="00F735D2"/>
    <w:rsid w:val="00F74EE3"/>
    <w:rsid w:val="00F83A82"/>
    <w:rsid w:val="00F85782"/>
    <w:rsid w:val="00F86105"/>
    <w:rsid w:val="00F91280"/>
    <w:rsid w:val="00F9360F"/>
    <w:rsid w:val="00FA1B12"/>
    <w:rsid w:val="00FA29F3"/>
    <w:rsid w:val="00FA2EEE"/>
    <w:rsid w:val="00FA46C7"/>
    <w:rsid w:val="00FB2DD6"/>
    <w:rsid w:val="00FB4487"/>
    <w:rsid w:val="00FD17D2"/>
    <w:rsid w:val="00FD78FE"/>
    <w:rsid w:val="00FD7F3A"/>
    <w:rsid w:val="00FE1CFF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68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50A3"/>
    <w:pPr>
      <w:tabs>
        <w:tab w:val="center" w:pos="4153"/>
        <w:tab w:val="right" w:pos="8306"/>
      </w:tabs>
    </w:pPr>
    <w:rPr>
      <w:lang w:eastAsia="ko-KR"/>
    </w:rPr>
  </w:style>
  <w:style w:type="paragraph" w:styleId="Footer">
    <w:name w:val="footer"/>
    <w:basedOn w:val="Normal"/>
    <w:rsid w:val="007C50A3"/>
    <w:pPr>
      <w:tabs>
        <w:tab w:val="center" w:pos="4153"/>
        <w:tab w:val="right" w:pos="8306"/>
      </w:tabs>
    </w:pPr>
    <w:rPr>
      <w:lang w:eastAsia="ko-KR"/>
    </w:rPr>
  </w:style>
  <w:style w:type="character" w:styleId="PageNumber">
    <w:name w:val="page number"/>
    <w:basedOn w:val="DefaultParagraphFont"/>
    <w:rsid w:val="007C50A3"/>
  </w:style>
  <w:style w:type="paragraph" w:styleId="BalloonText">
    <w:name w:val="Balloon Text"/>
    <w:basedOn w:val="Normal"/>
    <w:semiHidden/>
    <w:rsid w:val="00F658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57F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12178D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NormalWeb">
    <w:name w:val="Normal (Web)"/>
    <w:basedOn w:val="Normal"/>
    <w:rsid w:val="0012178D"/>
    <w:pPr>
      <w:spacing w:before="100" w:beforeAutospacing="1" w:after="100" w:afterAutospacing="1"/>
    </w:pPr>
    <w:rPr>
      <w:lang w:val="cs-CZ" w:eastAsia="cs-CZ"/>
    </w:rPr>
  </w:style>
  <w:style w:type="paragraph" w:customStyle="1" w:styleId="Corps">
    <w:name w:val="Corps"/>
    <w:rsid w:val="0012178D"/>
    <w:rPr>
      <w:rFonts w:ascii="Helvetica" w:eastAsia="ヒラギノ角ゴ Pro W3" w:hAnsi="Helvetica"/>
      <w:color w:val="000000"/>
      <w:sz w:val="24"/>
      <w:lang w:val="fr-FR" w:eastAsia="hu-HU"/>
    </w:rPr>
  </w:style>
  <w:style w:type="paragraph" w:styleId="FootnoteText">
    <w:name w:val="footnote text"/>
    <w:basedOn w:val="Normal"/>
    <w:link w:val="FootnoteTextChar"/>
    <w:rsid w:val="0026116F"/>
    <w:pPr>
      <w:suppressAutoHyphens/>
    </w:pPr>
    <w:rPr>
      <w:sz w:val="20"/>
      <w:szCs w:val="20"/>
      <w:lang w:val="fr-FR" w:eastAsia="ar-SA"/>
    </w:rPr>
  </w:style>
  <w:style w:type="character" w:styleId="FootnoteReference">
    <w:name w:val="footnote reference"/>
    <w:semiHidden/>
    <w:rsid w:val="0026116F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26116F"/>
    <w:rPr>
      <w:lang w:val="fr-FR" w:eastAsia="ar-SA" w:bidi="ar-SA"/>
    </w:rPr>
  </w:style>
  <w:style w:type="paragraph" w:styleId="ListBullet">
    <w:name w:val="List Bullet"/>
    <w:basedOn w:val="Normal"/>
    <w:rsid w:val="00E15609"/>
    <w:pPr>
      <w:numPr>
        <w:numId w:val="3"/>
      </w:numPr>
      <w:spacing w:after="240"/>
      <w:jc w:val="both"/>
    </w:pPr>
    <w:rPr>
      <w:szCs w:val="20"/>
      <w:lang w:eastAsia="en-US"/>
    </w:rPr>
  </w:style>
  <w:style w:type="paragraph" w:customStyle="1" w:styleId="a3520normal">
    <w:name w:val="a___35__20_normal"/>
    <w:basedOn w:val="Normal"/>
    <w:rsid w:val="00E15609"/>
    <w:pPr>
      <w:spacing w:after="120"/>
      <w:jc w:val="both"/>
    </w:pPr>
  </w:style>
  <w:style w:type="paragraph" w:customStyle="1" w:styleId="ColorfulList-Accent11">
    <w:name w:val="Colorful List - Accent 11"/>
    <w:basedOn w:val="Normal"/>
    <w:qFormat/>
    <w:rsid w:val="00952170"/>
    <w:pPr>
      <w:ind w:left="720"/>
    </w:pPr>
    <w:rPr>
      <w:lang w:eastAsia="ko-KR"/>
    </w:rPr>
  </w:style>
  <w:style w:type="character" w:customStyle="1" w:styleId="CommentTextChar">
    <w:name w:val="Comment Text Char"/>
    <w:link w:val="CommentText"/>
    <w:semiHidden/>
    <w:locked/>
    <w:rsid w:val="00E13684"/>
    <w:rPr>
      <w:rFonts w:ascii="Calibri" w:eastAsia="Calibri" w:hAnsi="Calibri"/>
      <w:lang w:val="it-IT" w:eastAsia="en-US" w:bidi="ar-SA"/>
    </w:rPr>
  </w:style>
  <w:style w:type="paragraph" w:styleId="CommentText">
    <w:name w:val="annotation text"/>
    <w:basedOn w:val="Normal"/>
    <w:link w:val="CommentTextChar"/>
    <w:semiHidden/>
    <w:rsid w:val="00E13684"/>
    <w:pPr>
      <w:spacing w:after="200" w:line="276" w:lineRule="auto"/>
    </w:pPr>
    <w:rPr>
      <w:rFonts w:ascii="Calibri" w:eastAsia="Calibri" w:hAnsi="Calibri"/>
      <w:sz w:val="20"/>
      <w:szCs w:val="20"/>
      <w:lang w:val="it-IT" w:eastAsia="en-US"/>
    </w:rPr>
  </w:style>
  <w:style w:type="character" w:styleId="CommentReference">
    <w:name w:val="annotation reference"/>
    <w:semiHidden/>
    <w:rsid w:val="00E13684"/>
    <w:rPr>
      <w:sz w:val="16"/>
      <w:szCs w:val="16"/>
    </w:rPr>
  </w:style>
  <w:style w:type="character" w:styleId="Hyperlink">
    <w:name w:val="Hyperlink"/>
    <w:rsid w:val="00ED00AC"/>
    <w:rPr>
      <w:color w:val="0000FF"/>
      <w:u w:val="single"/>
    </w:rPr>
  </w:style>
  <w:style w:type="paragraph" w:customStyle="1" w:styleId="ColorfulList-Accent12">
    <w:name w:val="Colorful List - Accent 12"/>
    <w:basedOn w:val="Normal"/>
    <w:qFormat/>
    <w:rsid w:val="00ED00A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3E56"/>
    <w:pPr>
      <w:spacing w:after="0" w:line="240" w:lineRule="auto"/>
    </w:pPr>
    <w:rPr>
      <w:rFonts w:ascii="Times New Roman" w:eastAsia="Times New Roman" w:hAnsi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C3E56"/>
    <w:rPr>
      <w:rFonts w:ascii="Calibri" w:eastAsia="Calibri" w:hAnsi="Calibri"/>
      <w:b/>
      <w:bCs/>
      <w:lang w:val="en-GB" w:eastAsia="en-GB" w:bidi="ar-SA"/>
    </w:rPr>
  </w:style>
  <w:style w:type="character" w:styleId="FollowedHyperlink">
    <w:name w:val="FollowedHyperlink"/>
    <w:basedOn w:val="DefaultParagraphFont"/>
    <w:semiHidden/>
    <w:unhideWhenUsed/>
    <w:rsid w:val="007B62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egister.consilium.europa.eu/doc/srv?l=EN&amp;f=ST%206535%202015%20INIT" TargetMode="External"/><Relationship Id="rId18" Type="http://schemas.openxmlformats.org/officeDocument/2006/relationships/hyperlink" Target="http://www.europarl.europa.eu/sides/getDoc.do?pubRef=-//EP//TEXT+TA+P7-TA-2014-0012+0+DOC+XML+V0/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eeas.europa.eu/archives/delegations/un_geneva/documents/eu_statments/ilo/pol_4.pdf" TargetMode="External"/><Relationship Id="rId17" Type="http://schemas.openxmlformats.org/officeDocument/2006/relationships/hyperlink" Target="http://ec.europa.eu/social/main.jsp?catId=15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silium.europa.eu/uedocs/cms_data/docs/pressdata/en/lsa/118225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lo.org/gb/GBSessions/GB325/pol/WCMS_413822/lang--en/index.ht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eeas.europa.eu/archives/delegations/un_geneva/eu_statments/ilo/index_en.ht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eas.europa.eu/delegations/un-geneva/search/site_en/?f%5b0%5d=im_field_tags%3A379&amp;f%5b1%5d=im_field_eeas_organisation%3A62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o.org/labadmin/info/pubs/WCMS_220021/lang--en/index.htm" TargetMode="External"/><Relationship Id="rId7" Type="http://schemas.openxmlformats.org/officeDocument/2006/relationships/hyperlink" Target="http://www.ilo.org/safework/projects/WCMS_149466/lang--en/index.htm" TargetMode="External"/><Relationship Id="rId2" Type="http://schemas.openxmlformats.org/officeDocument/2006/relationships/hyperlink" Target="http://www.ilo.org/budapest/what-we-do/projects/WCMS_456936/lang--en/index.htm" TargetMode="External"/><Relationship Id="rId1" Type="http://schemas.openxmlformats.org/officeDocument/2006/relationships/hyperlink" Target="http://www.ilo.org/safework/projects/WCMS_522931/lang--en/index.htm" TargetMode="External"/><Relationship Id="rId6" Type="http://schemas.openxmlformats.org/officeDocument/2006/relationships/hyperlink" Target="http://www.ilo.org/asia/projects/WCMS_484124/lang--en/index.htm" TargetMode="External"/><Relationship Id="rId5" Type="http://schemas.openxmlformats.org/officeDocument/2006/relationships/hyperlink" Target="http://trade.ec.europa.eu/doclib/press/index.cfm?id=935" TargetMode="External"/><Relationship Id="rId4" Type="http://schemas.openxmlformats.org/officeDocument/2006/relationships/hyperlink" Target="http://www.ilo.org/global/about-the-ilo/newsroom/news/WCMS_573118/lang--e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2547C7A6BA3489D7D1343C3117355" ma:contentTypeVersion="0" ma:contentTypeDescription="Create a new document." ma:contentTypeScope="" ma:versionID="c81b838b2da2a6a44a2071adfeb2a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a8071291efb51ebe3d0b439f67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4043-C27D-4ECB-B91B-9CEB4BBBF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53633-0B6C-4917-B406-77DF82CE4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47662-545F-40A9-A39C-086A3F13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37ADD8-E336-4B24-97CF-7BB034F2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9610</CharactersWithSpaces>
  <SharedDoc>false</SharedDoc>
  <HLinks>
    <vt:vector size="12" baseType="variant">
      <vt:variant>
        <vt:i4>1376314</vt:i4>
      </vt:variant>
      <vt:variant>
        <vt:i4>3</vt:i4>
      </vt:variant>
      <vt:variant>
        <vt:i4>0</vt:i4>
      </vt:variant>
      <vt:variant>
        <vt:i4>5</vt:i4>
      </vt:variant>
      <vt:variant>
        <vt:lpwstr>http://www.consilium.europa.eu/uedocs/cms_data/docs/pressdata/EN/foraff/132875.pdf</vt:lpwstr>
      </vt:variant>
      <vt:variant>
        <vt:lpwstr/>
      </vt:variant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http://www.ilo.org/wcmsp5/groups/public/---ed_norm/---relconf/documents/meetingdocument/wcms_236262.pdf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2017-10-31T09:44:00Z</dcterms:created>
  <dcterms:modified xsi:type="dcterms:W3CDTF">2017-10-31T09:45:00Z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0x010100E5F2547C7A6BA3489D7D1343C3117355</vt:lpwstr>
  </property>
  <property fmtid="{D5CDD505-2E9C-101B-9397-08002B2CF9AE}" pid="3" name="IsMyDocuments">
    <vt:bool>true</vt:bool>
  </property>
</Properties>
</file>